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64959" w14:textId="77777777" w:rsidR="002B47B3" w:rsidRDefault="00000000">
      <w:pPr>
        <w:wordWrap w:val="0"/>
        <w:spacing w:before="40" w:after="0" w:line="420" w:lineRule="atLeast"/>
        <w:jc w:val="center"/>
        <w:textAlignment w:val="baseline"/>
        <w:rPr>
          <w:rFonts w:hint="eastAsia"/>
          <w:sz w:val="31"/>
        </w:rPr>
      </w:pPr>
      <w:r>
        <w:rPr>
          <w:rFonts w:ascii="黑体" w:eastAsia="黑体" w:hAnsi="黑体" w:cs="黑体"/>
          <w:color w:val="000000"/>
          <w:sz w:val="31"/>
        </w:rPr>
        <w:t>绵阳市高中2022级第二次诊断性考试</w:t>
      </w:r>
    </w:p>
    <w:p w14:paraId="4528A968" w14:textId="77777777" w:rsidR="002B47B3" w:rsidRDefault="00000000">
      <w:pPr>
        <w:wordWrap w:val="0"/>
        <w:spacing w:after="0" w:line="480" w:lineRule="atLeast"/>
        <w:jc w:val="center"/>
        <w:textAlignment w:val="baseline"/>
        <w:rPr>
          <w:rFonts w:hint="eastAsia"/>
          <w:sz w:val="31"/>
        </w:rPr>
      </w:pPr>
      <w:r>
        <w:rPr>
          <w:rFonts w:ascii="黑体" w:eastAsia="黑体" w:hAnsi="黑体" w:cs="黑体"/>
          <w:color w:val="000000"/>
          <w:sz w:val="31"/>
        </w:rPr>
        <w:t>思想政治</w:t>
      </w:r>
    </w:p>
    <w:p w14:paraId="43F7DEF6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注意事项：</w:t>
      </w:r>
    </w:p>
    <w:p w14:paraId="17315797" w14:textId="77777777" w:rsidR="002B47B3" w:rsidRDefault="00000000">
      <w:pPr>
        <w:wordWrap w:val="0"/>
        <w:spacing w:before="140"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1.答卷前，考生务必将自己的班级、姓名、考号填写在答题卡上。</w:t>
      </w:r>
    </w:p>
    <w:p w14:paraId="5AF9F5A0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2.回答选择题时，选出每小题答案后，用铅笔把答题卡上对应题目的答案标号涂黑。如需改动，用橡皮擦干净后，再选</w:t>
      </w:r>
      <w:proofErr w:type="gramStart"/>
      <w:r>
        <w:rPr>
          <w:rFonts w:ascii="黑体" w:eastAsia="黑体" w:hAnsi="黑体" w:cs="黑体"/>
          <w:color w:val="000000"/>
        </w:rPr>
        <w:t>涂其他</w:t>
      </w:r>
      <w:proofErr w:type="gramEnd"/>
      <w:r>
        <w:rPr>
          <w:rFonts w:ascii="黑体" w:eastAsia="黑体" w:hAnsi="黑体" w:cs="黑体"/>
          <w:color w:val="000000"/>
        </w:rPr>
        <w:t>答案标号。写在本试卷上无效。</w:t>
      </w:r>
    </w:p>
    <w:p w14:paraId="4250D6B0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3.</w:t>
      </w:r>
      <w:proofErr w:type="gramStart"/>
      <w:r>
        <w:rPr>
          <w:rFonts w:ascii="黑体" w:eastAsia="黑体" w:hAnsi="黑体" w:cs="黑体"/>
          <w:color w:val="000000"/>
        </w:rPr>
        <w:t>回答非</w:t>
      </w:r>
      <w:proofErr w:type="gramEnd"/>
      <w:r>
        <w:rPr>
          <w:rFonts w:ascii="黑体" w:eastAsia="黑体" w:hAnsi="黑体" w:cs="黑体"/>
          <w:color w:val="000000"/>
        </w:rPr>
        <w:t>选择题时，将答案写在答题卡上。写在本试卷上无效。</w:t>
      </w:r>
    </w:p>
    <w:p w14:paraId="3248F66E" w14:textId="77777777" w:rsidR="002B47B3" w:rsidRDefault="00000000">
      <w:pPr>
        <w:wordWrap w:val="0"/>
        <w:spacing w:before="140"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4.考试结束后，将答题卡交回。</w:t>
      </w:r>
    </w:p>
    <w:p w14:paraId="3422A14B" w14:textId="77777777" w:rsidR="002B47B3" w:rsidRDefault="00000000">
      <w:pPr>
        <w:wordWrap w:val="0"/>
        <w:spacing w:after="0" w:line="340" w:lineRule="atLeast"/>
        <w:jc w:val="center"/>
        <w:textAlignment w:val="baseline"/>
        <w:rPr>
          <w:rFonts w:hint="eastAsia"/>
          <w:sz w:val="25"/>
        </w:rPr>
      </w:pPr>
      <w:r>
        <w:rPr>
          <w:rFonts w:ascii="黑体" w:eastAsia="黑体" w:hAnsi="黑体" w:cs="黑体"/>
          <w:color w:val="000000"/>
          <w:sz w:val="25"/>
        </w:rPr>
        <w:t>第I卷 (选择题，共48分)</w:t>
      </w:r>
    </w:p>
    <w:p w14:paraId="2F929117" w14:textId="77777777" w:rsidR="002B47B3" w:rsidRDefault="00000000">
      <w:pPr>
        <w:wordWrap w:val="0"/>
        <w:spacing w:after="0" w:line="320" w:lineRule="atLeast"/>
        <w:ind w:left="340" w:right="1060" w:hanging="340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一、选择题：本卷共16个小题，每小题3分，共48分。在每小题给出的四个选项中，只有 一项是符合题目要求的。</w:t>
      </w:r>
    </w:p>
    <w:p w14:paraId="24D4E6D7" w14:textId="77777777" w:rsidR="002B47B3" w:rsidRDefault="00000000">
      <w:pPr>
        <w:wordWrap w:val="0"/>
        <w:spacing w:after="0" w:line="320" w:lineRule="atLeast"/>
        <w:ind w:left="120" w:right="960" w:hanging="120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1.马克思在《资本论》中指出，“资本由于无限度地盲目追逐剩余劳动，像狼一般地贪求剩余劳动，不仅突破了工作日的道德极限，而且突破了工作日的纯粹身体极限。它侵占人体 成长、发育和维持健康所需要的时间。”由此可见，剩余价值学说</w:t>
      </w:r>
    </w:p>
    <w:p w14:paraId="16A88486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①标志着科学社会主义的诞生</w:t>
      </w:r>
    </w:p>
    <w:p w14:paraId="59F0C7EB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②揭示了资本家剥削工人的秘密</w:t>
      </w:r>
    </w:p>
    <w:p w14:paraId="053267E7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③揭示了人类社会发展的一般规律</w:t>
      </w:r>
    </w:p>
    <w:p w14:paraId="79C8C11C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④指明了无产阶级革命的历史必然性</w:t>
      </w:r>
    </w:p>
    <w:p w14:paraId="25A55838" w14:textId="77777777" w:rsidR="002B47B3" w:rsidRDefault="00000000">
      <w:pPr>
        <w:wordWrap w:val="0"/>
        <w:spacing w:after="0" w:line="340" w:lineRule="atLeast"/>
        <w:jc w:val="both"/>
        <w:textAlignment w:val="baseline"/>
        <w:rPr>
          <w:rFonts w:hint="eastAsia"/>
          <w:sz w:val="24"/>
        </w:rPr>
      </w:pPr>
      <w:r>
        <w:rPr>
          <w:rFonts w:ascii="黑体" w:eastAsia="黑体" w:hAnsi="黑体" w:cs="黑体"/>
          <w:color w:val="000000"/>
          <w:sz w:val="24"/>
        </w:rPr>
        <w:t>A.①③             B.①④            C.②③           D.②④</w:t>
      </w:r>
    </w:p>
    <w:p w14:paraId="5336185C" w14:textId="77777777" w:rsidR="002B47B3" w:rsidRDefault="00000000">
      <w:pPr>
        <w:wordWrap w:val="0"/>
        <w:spacing w:after="0" w:line="320" w:lineRule="atLeast"/>
        <w:ind w:left="160" w:right="940" w:hanging="160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2.2024年10月，国务院办公厅发布了《关于加快完善生育支持政策体系推动建设生育友好 型社会的若干措施》，旨在通过一系列措施来改善生育环境，减轻育龄家庭的经济压力，为应对当前低生育率、老龄化及家庭负担增大的问题提供了系统化解决方案。下列举措发 挥作用的传导路径中，正确的是</w:t>
      </w:r>
    </w:p>
    <w:p w14:paraId="5D516E37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①扩大优质教育资源供给→提升劳动力素质→延缓老龄化的发展趋势</w:t>
      </w:r>
    </w:p>
    <w:p w14:paraId="17FE2A4C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②建立生育补贴制度→完善初次分配机制→增加未来劳动力人口数量</w:t>
      </w:r>
    </w:p>
    <w:p w14:paraId="0CA951D2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③增强生育保险保障功能→落实生育医疗费用待遇保障→调动生育意愿</w:t>
      </w:r>
    </w:p>
    <w:p w14:paraId="56B49F35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④加强住房支持政策→多渠道增加保障性住房有效供给→减轻家庭负担</w:t>
      </w:r>
    </w:p>
    <w:p w14:paraId="6A4C9DC0" w14:textId="77777777" w:rsidR="002B47B3" w:rsidRDefault="00000000">
      <w:pPr>
        <w:wordWrap w:val="0"/>
        <w:spacing w:after="0" w:line="340" w:lineRule="atLeast"/>
        <w:jc w:val="both"/>
        <w:textAlignment w:val="baseline"/>
        <w:rPr>
          <w:rFonts w:hint="eastAsia"/>
          <w:sz w:val="24"/>
        </w:rPr>
      </w:pPr>
      <w:r>
        <w:rPr>
          <w:rFonts w:ascii="黑体" w:eastAsia="黑体" w:hAnsi="黑体" w:cs="黑体"/>
          <w:color w:val="000000"/>
          <w:sz w:val="24"/>
        </w:rPr>
        <w:t>A.①②            B.①③           C.②④         D.③④</w:t>
      </w:r>
    </w:p>
    <w:p w14:paraId="184CC55D" w14:textId="77777777" w:rsidR="002B47B3" w:rsidRDefault="00000000">
      <w:pPr>
        <w:wordWrap w:val="0"/>
        <w:spacing w:after="0" w:line="320" w:lineRule="atLeast"/>
        <w:ind w:left="160" w:right="1060" w:hanging="160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3.2024年一季度，我国本外币绿色贷款余额33.77</w:t>
      </w:r>
      <w:proofErr w:type="gramStart"/>
      <w:r>
        <w:rPr>
          <w:rFonts w:ascii="黑体" w:eastAsia="黑体" w:hAnsi="黑体" w:cs="黑体"/>
          <w:color w:val="000000"/>
        </w:rPr>
        <w:t>万亿</w:t>
      </w:r>
      <w:proofErr w:type="gramEnd"/>
      <w:r>
        <w:rPr>
          <w:rFonts w:ascii="黑体" w:eastAsia="黑体" w:hAnsi="黑体" w:cs="黑体"/>
          <w:color w:val="000000"/>
        </w:rPr>
        <w:t>元， 同比增长35.1%，其中投向具有 直接和间接</w:t>
      </w:r>
      <w:proofErr w:type="gramStart"/>
      <w:r>
        <w:rPr>
          <w:rFonts w:ascii="黑体" w:eastAsia="黑体" w:hAnsi="黑体" w:cs="黑体"/>
          <w:color w:val="000000"/>
        </w:rPr>
        <w:t>碳减排效益</w:t>
      </w:r>
      <w:proofErr w:type="gramEnd"/>
      <w:r>
        <w:rPr>
          <w:rFonts w:ascii="黑体" w:eastAsia="黑体" w:hAnsi="黑体" w:cs="黑体"/>
          <w:color w:val="000000"/>
        </w:rPr>
        <w:t>项目贷款分别为11.21</w:t>
      </w:r>
      <w:proofErr w:type="gramStart"/>
      <w:r>
        <w:rPr>
          <w:rFonts w:ascii="黑体" w:eastAsia="黑体" w:hAnsi="黑体" w:cs="黑体"/>
          <w:color w:val="000000"/>
        </w:rPr>
        <w:t>万亿</w:t>
      </w:r>
      <w:proofErr w:type="gramEnd"/>
      <w:r>
        <w:rPr>
          <w:rFonts w:ascii="黑体" w:eastAsia="黑体" w:hAnsi="黑体" w:cs="黑体"/>
          <w:color w:val="000000"/>
        </w:rPr>
        <w:t>元和</w:t>
      </w:r>
    </w:p>
    <w:p w14:paraId="543C48DE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11.34</w:t>
      </w:r>
      <w:proofErr w:type="gramStart"/>
      <w:r>
        <w:rPr>
          <w:rFonts w:ascii="黑体" w:eastAsia="黑体" w:hAnsi="黑体" w:cs="黑体"/>
          <w:color w:val="000000"/>
        </w:rPr>
        <w:t>万亿</w:t>
      </w:r>
      <w:proofErr w:type="gramEnd"/>
      <w:r>
        <w:rPr>
          <w:rFonts w:ascii="黑体" w:eastAsia="黑体" w:hAnsi="黑体" w:cs="黑体"/>
          <w:color w:val="000000"/>
        </w:rPr>
        <w:t>元，合计占绿色贷款总 额66.8%。实施绿色贷款是基于</w:t>
      </w:r>
    </w:p>
    <w:p w14:paraId="27C43C73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①加强财政政策引导，助力国家生态建设</w:t>
      </w:r>
    </w:p>
    <w:p w14:paraId="2E4FCC6A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②推动发展低碳转型，提升服务实体能力</w:t>
      </w:r>
    </w:p>
    <w:p w14:paraId="4661C0AB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③优化银行贷款结构，增加银行业务收益</w:t>
      </w:r>
    </w:p>
    <w:p w14:paraId="2F2948DF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④丰富金融产品，破解绿色产业融资难题</w:t>
      </w:r>
    </w:p>
    <w:p w14:paraId="5DDD6A4D" w14:textId="77777777" w:rsidR="002B47B3" w:rsidRDefault="00000000">
      <w:pPr>
        <w:wordWrap w:val="0"/>
        <w:spacing w:after="0" w:line="340" w:lineRule="atLeast"/>
        <w:jc w:val="both"/>
        <w:textAlignment w:val="baseline"/>
        <w:rPr>
          <w:rFonts w:hint="eastAsia"/>
          <w:sz w:val="24"/>
        </w:rPr>
      </w:pPr>
      <w:r>
        <w:rPr>
          <w:rFonts w:ascii="黑体" w:eastAsia="黑体" w:hAnsi="黑体" w:cs="黑体"/>
          <w:color w:val="000000"/>
          <w:sz w:val="24"/>
        </w:rPr>
        <w:t>A.①②         B.①③            C.②④           D.③④</w:t>
      </w:r>
    </w:p>
    <w:p w14:paraId="1243FD44" w14:textId="77777777" w:rsidR="002B47B3" w:rsidRDefault="002B47B3">
      <w:pPr>
        <w:wordWrap w:val="0"/>
        <w:spacing w:after="0" w:line="340" w:lineRule="exact"/>
        <w:jc w:val="both"/>
        <w:textAlignment w:val="baseline"/>
        <w:rPr>
          <w:rFonts w:hint="eastAsia"/>
          <w:sz w:val="24"/>
        </w:rPr>
      </w:pPr>
    </w:p>
    <w:p w14:paraId="5557E5C1" w14:textId="77777777" w:rsidR="002B47B3" w:rsidRDefault="00000000">
      <w:pPr>
        <w:wordWrap w:val="0"/>
        <w:spacing w:after="0" w:line="240" w:lineRule="atLeast"/>
        <w:jc w:val="center"/>
        <w:textAlignment w:val="baseline"/>
        <w:rPr>
          <w:rFonts w:hint="eastAsia"/>
          <w:sz w:val="17"/>
        </w:rPr>
        <w:sectPr w:rsidR="002B47B3">
          <w:pgSz w:w="11900" w:h="16820"/>
          <w:pgMar w:top="1420" w:right="1780" w:bottom="1420" w:left="1780" w:header="720" w:footer="720" w:gutter="0"/>
          <w:cols w:space="720"/>
        </w:sectPr>
      </w:pPr>
      <w:r>
        <w:rPr>
          <w:rFonts w:ascii="黑体" w:eastAsia="黑体" w:hAnsi="黑体" w:cs="黑体"/>
          <w:color w:val="000000"/>
          <w:sz w:val="17"/>
        </w:rPr>
        <w:t>第 1 页 共 6 页</w:t>
      </w:r>
    </w:p>
    <w:p w14:paraId="281604F7" w14:textId="77777777" w:rsidR="002B47B3" w:rsidRDefault="00000000">
      <w:pPr>
        <w:wordWrap w:val="0"/>
        <w:spacing w:before="160" w:after="0" w:line="340" w:lineRule="atLeast"/>
        <w:jc w:val="both"/>
        <w:textAlignment w:val="baseline"/>
        <w:rPr>
          <w:rFonts w:hint="eastAsia"/>
          <w:sz w:val="24"/>
        </w:rPr>
      </w:pPr>
      <w:r>
        <w:rPr>
          <w:rFonts w:ascii="宋体" w:eastAsia="宋体" w:hAnsi="宋体" w:cs="宋体"/>
          <w:color w:val="000000"/>
          <w:sz w:val="24"/>
        </w:rPr>
        <w:lastRenderedPageBreak/>
        <w:t>4.2024年我国1-10月社会消费品零售总额增长情况如下表所示</w:t>
      </w:r>
    </w:p>
    <w:tbl>
      <w:tblPr>
        <w:tblW w:w="0" w:type="auto"/>
        <w:tblInd w:w="16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0"/>
        <w:gridCol w:w="1960"/>
        <w:gridCol w:w="1280"/>
      </w:tblGrid>
      <w:tr w:rsidR="002B47B3" w:rsidRPr="00AC3B1E" w14:paraId="409C69E7" w14:textId="77777777">
        <w:trPr>
          <w:trHeight w:val="200"/>
        </w:trPr>
        <w:tc>
          <w:tcPr>
            <w:tcW w:w="2840" w:type="dxa"/>
            <w:vAlign w:val="center"/>
          </w:tcPr>
          <w:p w14:paraId="6FC94820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指 标</w:t>
            </w:r>
          </w:p>
        </w:tc>
        <w:tc>
          <w:tcPr>
            <w:tcW w:w="1960" w:type="dxa"/>
            <w:vAlign w:val="center"/>
          </w:tcPr>
          <w:p w14:paraId="17E0F002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绝对量(亿元)</w:t>
            </w:r>
          </w:p>
        </w:tc>
        <w:tc>
          <w:tcPr>
            <w:tcW w:w="1280" w:type="dxa"/>
            <w:vAlign w:val="center"/>
          </w:tcPr>
          <w:p w14:paraId="2B644449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同比增长</w:t>
            </w:r>
          </w:p>
        </w:tc>
      </w:tr>
      <w:tr w:rsidR="002B47B3" w:rsidRPr="00AC3B1E" w14:paraId="5EE8D012" w14:textId="77777777">
        <w:trPr>
          <w:trHeight w:val="220"/>
        </w:trPr>
        <w:tc>
          <w:tcPr>
            <w:tcW w:w="2840" w:type="dxa"/>
            <w:vAlign w:val="center"/>
          </w:tcPr>
          <w:p w14:paraId="4B97A466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社会消费品零售总额</w:t>
            </w:r>
          </w:p>
        </w:tc>
        <w:tc>
          <w:tcPr>
            <w:tcW w:w="1960" w:type="dxa"/>
            <w:vAlign w:val="center"/>
          </w:tcPr>
          <w:p w14:paraId="138AC2F6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398960</w:t>
            </w:r>
          </w:p>
        </w:tc>
        <w:tc>
          <w:tcPr>
            <w:tcW w:w="1280" w:type="dxa"/>
            <w:vAlign w:val="center"/>
          </w:tcPr>
          <w:p w14:paraId="4D660C0B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3.5</w:t>
            </w:r>
          </w:p>
        </w:tc>
      </w:tr>
      <w:tr w:rsidR="002B47B3" w:rsidRPr="00AC3B1E" w14:paraId="31FECD7A" w14:textId="77777777">
        <w:trPr>
          <w:trHeight w:val="200"/>
        </w:trPr>
        <w:tc>
          <w:tcPr>
            <w:tcW w:w="2840" w:type="dxa"/>
            <w:vAlign w:val="center"/>
          </w:tcPr>
          <w:p w14:paraId="248326B8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其中：实物商品网上零售额</w:t>
            </w:r>
          </w:p>
        </w:tc>
        <w:tc>
          <w:tcPr>
            <w:tcW w:w="1960" w:type="dxa"/>
            <w:vAlign w:val="center"/>
          </w:tcPr>
          <w:p w14:paraId="56713510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103330</w:t>
            </w:r>
          </w:p>
        </w:tc>
        <w:tc>
          <w:tcPr>
            <w:tcW w:w="1280" w:type="dxa"/>
            <w:vAlign w:val="center"/>
          </w:tcPr>
          <w:p w14:paraId="500D86F2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8.3</w:t>
            </w:r>
          </w:p>
        </w:tc>
      </w:tr>
      <w:tr w:rsidR="002B47B3" w:rsidRPr="00AC3B1E" w14:paraId="7E66A7BF" w14:textId="77777777">
        <w:trPr>
          <w:trHeight w:val="220"/>
        </w:trPr>
        <w:tc>
          <w:tcPr>
            <w:tcW w:w="2840" w:type="dxa"/>
            <w:vAlign w:val="center"/>
          </w:tcPr>
          <w:p w14:paraId="171D99D0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商品零售额</w:t>
            </w:r>
          </w:p>
        </w:tc>
        <w:tc>
          <w:tcPr>
            <w:tcW w:w="1960" w:type="dxa"/>
            <w:vAlign w:val="center"/>
          </w:tcPr>
          <w:p w14:paraId="65A287E4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354593</w:t>
            </w:r>
          </w:p>
        </w:tc>
        <w:tc>
          <w:tcPr>
            <w:tcW w:w="1280" w:type="dxa"/>
            <w:vAlign w:val="center"/>
          </w:tcPr>
          <w:p w14:paraId="27443309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3.2</w:t>
            </w:r>
          </w:p>
        </w:tc>
      </w:tr>
      <w:tr w:rsidR="002B47B3" w:rsidRPr="00AC3B1E" w14:paraId="2EEBD00C" w14:textId="77777777">
        <w:trPr>
          <w:trHeight w:val="220"/>
        </w:trPr>
        <w:tc>
          <w:tcPr>
            <w:tcW w:w="2840" w:type="dxa"/>
            <w:vAlign w:val="center"/>
          </w:tcPr>
          <w:p w14:paraId="433E5587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其中：粮油、食品类</w:t>
            </w:r>
          </w:p>
        </w:tc>
        <w:tc>
          <w:tcPr>
            <w:tcW w:w="1960" w:type="dxa"/>
            <w:vAlign w:val="center"/>
          </w:tcPr>
          <w:p w14:paraId="496401B8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17658</w:t>
            </w:r>
          </w:p>
        </w:tc>
        <w:tc>
          <w:tcPr>
            <w:tcW w:w="1280" w:type="dxa"/>
            <w:vAlign w:val="center"/>
          </w:tcPr>
          <w:p w14:paraId="1CA2DC58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9.9</w:t>
            </w:r>
          </w:p>
        </w:tc>
      </w:tr>
      <w:tr w:rsidR="002B47B3" w:rsidRPr="00AC3B1E" w14:paraId="5B9643B8" w14:textId="77777777">
        <w:trPr>
          <w:trHeight w:val="220"/>
        </w:trPr>
        <w:tc>
          <w:tcPr>
            <w:tcW w:w="2840" w:type="dxa"/>
            <w:vAlign w:val="center"/>
          </w:tcPr>
          <w:p w14:paraId="2799190E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服装、鞋帽、针纺织品类</w:t>
            </w:r>
          </w:p>
        </w:tc>
        <w:tc>
          <w:tcPr>
            <w:tcW w:w="1960" w:type="dxa"/>
            <w:vAlign w:val="center"/>
          </w:tcPr>
          <w:p w14:paraId="3762E682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11571</w:t>
            </w:r>
          </w:p>
        </w:tc>
        <w:tc>
          <w:tcPr>
            <w:tcW w:w="1280" w:type="dxa"/>
            <w:vAlign w:val="center"/>
          </w:tcPr>
          <w:p w14:paraId="6831DA72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1.1</w:t>
            </w:r>
          </w:p>
        </w:tc>
      </w:tr>
      <w:tr w:rsidR="002B47B3" w:rsidRPr="00AC3B1E" w14:paraId="16E99981" w14:textId="77777777">
        <w:trPr>
          <w:trHeight w:val="220"/>
        </w:trPr>
        <w:tc>
          <w:tcPr>
            <w:tcW w:w="2840" w:type="dxa"/>
            <w:vAlign w:val="center"/>
          </w:tcPr>
          <w:p w14:paraId="2EB0D0CC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体育、娱乐用品类</w:t>
            </w:r>
          </w:p>
        </w:tc>
        <w:tc>
          <w:tcPr>
            <w:tcW w:w="1960" w:type="dxa"/>
            <w:vAlign w:val="center"/>
          </w:tcPr>
          <w:p w14:paraId="5046EB9D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1128</w:t>
            </w:r>
          </w:p>
        </w:tc>
        <w:tc>
          <w:tcPr>
            <w:tcW w:w="1280" w:type="dxa"/>
            <w:vAlign w:val="center"/>
          </w:tcPr>
          <w:p w14:paraId="4BC9C724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11.5</w:t>
            </w:r>
          </w:p>
        </w:tc>
      </w:tr>
      <w:tr w:rsidR="002B47B3" w:rsidRPr="00AC3B1E" w14:paraId="690A714D" w14:textId="77777777">
        <w:trPr>
          <w:trHeight w:val="220"/>
        </w:trPr>
        <w:tc>
          <w:tcPr>
            <w:tcW w:w="2840" w:type="dxa"/>
            <w:vAlign w:val="center"/>
          </w:tcPr>
          <w:p w14:paraId="1AB2B325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家用电器和音像器材类</w:t>
            </w:r>
          </w:p>
        </w:tc>
        <w:tc>
          <w:tcPr>
            <w:tcW w:w="1960" w:type="dxa"/>
            <w:vAlign w:val="center"/>
          </w:tcPr>
          <w:p w14:paraId="548F5EA4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7908</w:t>
            </w:r>
          </w:p>
        </w:tc>
        <w:tc>
          <w:tcPr>
            <w:tcW w:w="1280" w:type="dxa"/>
            <w:vAlign w:val="center"/>
          </w:tcPr>
          <w:p w14:paraId="1B2EAF5E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7.8</w:t>
            </w:r>
          </w:p>
        </w:tc>
      </w:tr>
      <w:tr w:rsidR="002B47B3" w:rsidRPr="00AC3B1E" w14:paraId="16767F2B" w14:textId="77777777">
        <w:trPr>
          <w:trHeight w:val="200"/>
        </w:trPr>
        <w:tc>
          <w:tcPr>
            <w:tcW w:w="2840" w:type="dxa"/>
            <w:vAlign w:val="center"/>
          </w:tcPr>
          <w:p w14:paraId="50A9941A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中西药品类</w:t>
            </w:r>
          </w:p>
        </w:tc>
        <w:tc>
          <w:tcPr>
            <w:tcW w:w="1960" w:type="dxa"/>
            <w:vAlign w:val="center"/>
          </w:tcPr>
          <w:p w14:paraId="14A39053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5815</w:t>
            </w:r>
          </w:p>
        </w:tc>
        <w:tc>
          <w:tcPr>
            <w:tcW w:w="1280" w:type="dxa"/>
            <w:vAlign w:val="center"/>
          </w:tcPr>
          <w:p w14:paraId="61E482B0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4.3</w:t>
            </w:r>
          </w:p>
        </w:tc>
      </w:tr>
      <w:tr w:rsidR="002B47B3" w:rsidRPr="00AC3B1E" w14:paraId="137DC541" w14:textId="77777777">
        <w:trPr>
          <w:trHeight w:val="200"/>
        </w:trPr>
        <w:tc>
          <w:tcPr>
            <w:tcW w:w="2840" w:type="dxa"/>
            <w:vAlign w:val="center"/>
          </w:tcPr>
          <w:p w14:paraId="5AF9574E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家具类</w:t>
            </w:r>
          </w:p>
        </w:tc>
        <w:tc>
          <w:tcPr>
            <w:tcW w:w="1960" w:type="dxa"/>
            <w:vAlign w:val="center"/>
          </w:tcPr>
          <w:p w14:paraId="2A973E81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1303</w:t>
            </w:r>
          </w:p>
        </w:tc>
        <w:tc>
          <w:tcPr>
            <w:tcW w:w="1280" w:type="dxa"/>
            <w:vAlign w:val="center"/>
          </w:tcPr>
          <w:p w14:paraId="07459550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1.9</w:t>
            </w:r>
          </w:p>
        </w:tc>
      </w:tr>
      <w:tr w:rsidR="002B47B3" w:rsidRPr="00AC3B1E" w14:paraId="5090EDD9" w14:textId="77777777">
        <w:trPr>
          <w:trHeight w:val="220"/>
        </w:trPr>
        <w:tc>
          <w:tcPr>
            <w:tcW w:w="2840" w:type="dxa"/>
            <w:vAlign w:val="center"/>
          </w:tcPr>
          <w:p w14:paraId="5B050203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通讯器材类</w:t>
            </w:r>
          </w:p>
        </w:tc>
        <w:tc>
          <w:tcPr>
            <w:tcW w:w="1960" w:type="dxa"/>
            <w:vAlign w:val="center"/>
          </w:tcPr>
          <w:p w14:paraId="6A2B1E28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6331</w:t>
            </w:r>
          </w:p>
        </w:tc>
        <w:tc>
          <w:tcPr>
            <w:tcW w:w="1280" w:type="dxa"/>
            <w:vAlign w:val="center"/>
          </w:tcPr>
          <w:p w14:paraId="1330C20B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12.2</w:t>
            </w:r>
          </w:p>
        </w:tc>
      </w:tr>
      <w:tr w:rsidR="002B47B3" w:rsidRPr="00AC3B1E" w14:paraId="4C6EC55E" w14:textId="77777777">
        <w:trPr>
          <w:trHeight w:val="200"/>
        </w:trPr>
        <w:tc>
          <w:tcPr>
            <w:tcW w:w="2840" w:type="dxa"/>
            <w:vAlign w:val="center"/>
          </w:tcPr>
          <w:p w14:paraId="63016D1B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汽车类</w:t>
            </w:r>
          </w:p>
        </w:tc>
        <w:tc>
          <w:tcPr>
            <w:tcW w:w="1960" w:type="dxa"/>
            <w:vAlign w:val="center"/>
          </w:tcPr>
          <w:p w14:paraId="48C38564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39921</w:t>
            </w:r>
          </w:p>
        </w:tc>
        <w:tc>
          <w:tcPr>
            <w:tcW w:w="1280" w:type="dxa"/>
            <w:vAlign w:val="center"/>
          </w:tcPr>
          <w:p w14:paraId="0FE12C57" w14:textId="77777777" w:rsidR="002B47B3" w:rsidRPr="00AC3B1E" w:rsidRDefault="00000000">
            <w:pPr>
              <w:wordWrap w:val="0"/>
              <w:spacing w:after="0" w:line="220" w:lineRule="atLeast"/>
              <w:jc w:val="center"/>
              <w:textAlignment w:val="baseline"/>
              <w:rPr>
                <w:rFonts w:hint="eastAsia"/>
                <w:b/>
                <w:bCs/>
                <w:sz w:val="17"/>
              </w:rPr>
            </w:pPr>
            <w:r w:rsidRPr="00AC3B1E">
              <w:rPr>
                <w:rFonts w:ascii="宋体" w:eastAsia="宋体" w:hAnsi="宋体" w:cs="宋体"/>
                <w:b/>
                <w:bCs/>
                <w:color w:val="000000"/>
                <w:sz w:val="17"/>
              </w:rPr>
              <w:t>-1.5</w:t>
            </w:r>
          </w:p>
        </w:tc>
      </w:tr>
    </w:tbl>
    <w:p w14:paraId="50969717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  <w:sz w:val="24"/>
        </w:rPr>
      </w:pPr>
      <w:r>
        <w:rPr>
          <w:rFonts w:ascii="黑体" w:eastAsia="黑体" w:hAnsi="黑体" w:cs="黑体"/>
          <w:color w:val="000000"/>
          <w:sz w:val="24"/>
        </w:rPr>
        <w:t>由此可以推断</w:t>
      </w:r>
    </w:p>
    <w:p w14:paraId="3C2F356E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  <w:sz w:val="24"/>
        </w:rPr>
      </w:pPr>
      <w:r>
        <w:rPr>
          <w:rFonts w:ascii="黑体" w:eastAsia="黑体" w:hAnsi="黑体" w:cs="黑体"/>
          <w:color w:val="000000"/>
          <w:sz w:val="24"/>
        </w:rPr>
        <w:t>①居民消费观念逐渐向健康消费转变</w:t>
      </w:r>
    </w:p>
    <w:p w14:paraId="7A21A243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  <w:sz w:val="24"/>
        </w:rPr>
      </w:pPr>
      <w:r>
        <w:rPr>
          <w:rFonts w:ascii="黑体" w:eastAsia="黑体" w:hAnsi="黑体" w:cs="黑体"/>
          <w:color w:val="000000"/>
          <w:sz w:val="24"/>
        </w:rPr>
        <w:t>②城乡收入差距缩小，消费能力不断增强</w:t>
      </w:r>
    </w:p>
    <w:p w14:paraId="775AD45B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  <w:sz w:val="24"/>
        </w:rPr>
      </w:pPr>
      <w:r>
        <w:rPr>
          <w:rFonts w:ascii="黑体" w:eastAsia="黑体" w:hAnsi="黑体" w:cs="黑体"/>
          <w:color w:val="000000"/>
          <w:sz w:val="24"/>
        </w:rPr>
        <w:t>③消费者信心改善，有利于促进经济企稳回升</w:t>
      </w:r>
    </w:p>
    <w:p w14:paraId="7291962D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  <w:sz w:val="24"/>
        </w:rPr>
      </w:pPr>
      <w:r>
        <w:rPr>
          <w:rFonts w:ascii="黑体" w:eastAsia="黑体" w:hAnsi="黑体" w:cs="黑体"/>
          <w:color w:val="000000"/>
          <w:sz w:val="24"/>
        </w:rPr>
        <w:t>④以旧换新成效凸显，新兴产业替代传统产业</w:t>
      </w:r>
    </w:p>
    <w:p w14:paraId="563B2492" w14:textId="77777777" w:rsidR="002B47B3" w:rsidRDefault="00000000">
      <w:pPr>
        <w:wordWrap w:val="0"/>
        <w:spacing w:after="0" w:line="340" w:lineRule="atLeast"/>
        <w:jc w:val="both"/>
        <w:textAlignment w:val="baseline"/>
        <w:rPr>
          <w:rFonts w:hint="eastAsia"/>
          <w:sz w:val="25"/>
        </w:rPr>
      </w:pPr>
      <w:r>
        <w:rPr>
          <w:rFonts w:ascii="黑体" w:eastAsia="黑体" w:hAnsi="黑体" w:cs="黑体"/>
          <w:color w:val="000000"/>
          <w:sz w:val="25"/>
        </w:rPr>
        <w:t>A.①③             B.①④           C.②③             D.②④</w:t>
      </w:r>
    </w:p>
    <w:p w14:paraId="35F6E85B" w14:textId="77777777" w:rsidR="002B47B3" w:rsidRDefault="00000000">
      <w:pPr>
        <w:wordWrap w:val="0"/>
        <w:spacing w:after="0" w:line="320" w:lineRule="atLeast"/>
        <w:ind w:left="160" w:right="220" w:hanging="160"/>
        <w:jc w:val="both"/>
        <w:textAlignment w:val="baseline"/>
        <w:rPr>
          <w:rFonts w:hint="eastAsia"/>
          <w:sz w:val="24"/>
        </w:rPr>
      </w:pPr>
      <w:r>
        <w:rPr>
          <w:rFonts w:ascii="黑体" w:eastAsia="黑体" w:hAnsi="黑体" w:cs="黑体"/>
          <w:color w:val="000000"/>
          <w:sz w:val="24"/>
        </w:rPr>
        <w:t>5.2024年11月，习近平总书记在湖北考察时指出，湖北科教人才优势与能力突出，要坚持传统产业转型升级和培育壮大新兴产业、未来产业齐头并进，因地制宜发展新质生产力，打造更多叫得响的品牌。这说明中国共产党</w:t>
      </w:r>
    </w:p>
    <w:p w14:paraId="5C3CB370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  <w:sz w:val="24"/>
        </w:rPr>
      </w:pPr>
      <w:r>
        <w:rPr>
          <w:rFonts w:ascii="黑体" w:eastAsia="黑体" w:hAnsi="黑体" w:cs="黑体"/>
          <w:color w:val="000000"/>
          <w:sz w:val="24"/>
        </w:rPr>
        <w:t>①洞悉时代形势深刻变化，始终走在时代前列</w:t>
      </w:r>
    </w:p>
    <w:p w14:paraId="1FBCBB5D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  <w:sz w:val="24"/>
        </w:rPr>
      </w:pPr>
      <w:r>
        <w:rPr>
          <w:rFonts w:ascii="黑体" w:eastAsia="黑体" w:hAnsi="黑体" w:cs="黑体"/>
          <w:color w:val="000000"/>
          <w:sz w:val="24"/>
        </w:rPr>
        <w:t>②把发展新质生产力摆在治国理政的核心位置</w:t>
      </w:r>
    </w:p>
    <w:p w14:paraId="266C92F0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  <w:sz w:val="24"/>
        </w:rPr>
      </w:pPr>
      <w:r>
        <w:rPr>
          <w:rFonts w:ascii="黑体" w:eastAsia="黑体" w:hAnsi="黑体" w:cs="黑体"/>
          <w:color w:val="000000"/>
          <w:sz w:val="24"/>
        </w:rPr>
        <w:t>③履行经济管理职能，遵循社会主义建设规律</w:t>
      </w:r>
    </w:p>
    <w:p w14:paraId="2E4DC4D9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  <w:sz w:val="24"/>
        </w:rPr>
      </w:pPr>
      <w:r>
        <w:rPr>
          <w:rFonts w:ascii="黑体" w:eastAsia="黑体" w:hAnsi="黑体" w:cs="黑体"/>
          <w:color w:val="000000"/>
          <w:sz w:val="24"/>
        </w:rPr>
        <w:t>④锚定高质量发展任务，牢牢掌握发展主动权</w:t>
      </w:r>
    </w:p>
    <w:p w14:paraId="7885937E" w14:textId="77777777" w:rsidR="002B47B3" w:rsidRDefault="00000000">
      <w:pPr>
        <w:wordWrap w:val="0"/>
        <w:spacing w:after="0" w:line="340" w:lineRule="atLeast"/>
        <w:jc w:val="both"/>
        <w:textAlignment w:val="baseline"/>
        <w:rPr>
          <w:rFonts w:hint="eastAsia"/>
          <w:sz w:val="25"/>
        </w:rPr>
      </w:pPr>
      <w:r>
        <w:rPr>
          <w:rFonts w:ascii="黑体" w:eastAsia="黑体" w:hAnsi="黑体" w:cs="黑体"/>
          <w:color w:val="000000"/>
          <w:sz w:val="25"/>
        </w:rPr>
        <w:t>A.①③           B.①④              C.②③               D.②④</w:t>
      </w:r>
    </w:p>
    <w:p w14:paraId="377840BC" w14:textId="77777777" w:rsidR="002B47B3" w:rsidRDefault="00000000">
      <w:pPr>
        <w:wordWrap w:val="0"/>
        <w:spacing w:after="0" w:line="320" w:lineRule="atLeast"/>
        <w:ind w:left="160" w:right="220" w:hanging="160"/>
        <w:jc w:val="both"/>
        <w:textAlignment w:val="baseline"/>
        <w:rPr>
          <w:rFonts w:hint="eastAsia"/>
          <w:sz w:val="24"/>
        </w:rPr>
      </w:pPr>
      <w:r>
        <w:rPr>
          <w:rFonts w:ascii="黑体" w:eastAsia="黑体" w:hAnsi="黑体" w:cs="黑体"/>
          <w:color w:val="000000"/>
          <w:sz w:val="24"/>
        </w:rPr>
        <w:t>6.随着长租公寓等业态的快速发展，租房押金纠纷时有发生，某些无良租赁企业通过</w:t>
      </w:r>
      <w:proofErr w:type="gramStart"/>
      <w:r>
        <w:rPr>
          <w:rFonts w:ascii="黑体" w:eastAsia="黑体" w:hAnsi="黑体" w:cs="黑体"/>
          <w:color w:val="000000"/>
          <w:sz w:val="24"/>
        </w:rPr>
        <w:t>不</w:t>
      </w:r>
      <w:proofErr w:type="gramEnd"/>
      <w:r>
        <w:rPr>
          <w:rFonts w:ascii="黑体" w:eastAsia="黑体" w:hAnsi="黑体" w:cs="黑体"/>
          <w:color w:val="000000"/>
          <w:sz w:val="24"/>
        </w:rPr>
        <w:t>退押 金、私自挪用押金甚至卷钱“跑路”牟取私利。某地政府拟出台规定，由市住房资金管理 中心对住房租赁企业向承租人收取的押金进行托管，对一次性收取超过3个月的租金进行 监管。由此可见，政府</w:t>
      </w:r>
    </w:p>
    <w:p w14:paraId="1B583ECC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  <w:sz w:val="24"/>
        </w:rPr>
      </w:pPr>
      <w:r>
        <w:rPr>
          <w:rFonts w:ascii="黑体" w:eastAsia="黑体" w:hAnsi="黑体" w:cs="黑体"/>
          <w:color w:val="000000"/>
          <w:sz w:val="24"/>
        </w:rPr>
        <w:t>①履行市场监管职能，保护租户合法权益</w:t>
      </w:r>
    </w:p>
    <w:p w14:paraId="236DCB10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  <w:sz w:val="24"/>
        </w:rPr>
      </w:pPr>
      <w:r>
        <w:rPr>
          <w:rFonts w:ascii="黑体" w:eastAsia="黑体" w:hAnsi="黑体" w:cs="黑体"/>
          <w:color w:val="000000"/>
          <w:sz w:val="24"/>
        </w:rPr>
        <w:t>②搭建群众监督平台，维护租赁市场稳定</w:t>
      </w:r>
    </w:p>
    <w:p w14:paraId="4613EC12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  <w:sz w:val="24"/>
        </w:rPr>
      </w:pPr>
      <w:r>
        <w:rPr>
          <w:rFonts w:ascii="黑体" w:eastAsia="黑体" w:hAnsi="黑体" w:cs="黑体"/>
          <w:color w:val="000000"/>
          <w:sz w:val="24"/>
        </w:rPr>
        <w:t>③规范租赁行为，促进公共服务的精准化</w:t>
      </w:r>
    </w:p>
    <w:p w14:paraId="05543E6B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  <w:sz w:val="24"/>
        </w:rPr>
      </w:pPr>
      <w:r>
        <w:rPr>
          <w:rFonts w:ascii="黑体" w:eastAsia="黑体" w:hAnsi="黑体" w:cs="黑体"/>
          <w:color w:val="000000"/>
          <w:sz w:val="24"/>
        </w:rPr>
        <w:t>④完善行政执法体系，引领社会法治意识</w:t>
      </w:r>
    </w:p>
    <w:p w14:paraId="0BEB341D" w14:textId="77777777" w:rsidR="002B47B3" w:rsidRDefault="00000000">
      <w:pPr>
        <w:wordWrap w:val="0"/>
        <w:spacing w:after="0" w:line="340" w:lineRule="atLeast"/>
        <w:jc w:val="both"/>
        <w:textAlignment w:val="baseline"/>
        <w:rPr>
          <w:rFonts w:hint="eastAsia"/>
          <w:sz w:val="25"/>
        </w:rPr>
      </w:pPr>
      <w:r>
        <w:rPr>
          <w:rFonts w:ascii="黑体" w:eastAsia="黑体" w:hAnsi="黑体" w:cs="黑体"/>
          <w:color w:val="000000"/>
          <w:sz w:val="25"/>
        </w:rPr>
        <w:t>A.①③            B.①④             C.②③              D.②④</w:t>
      </w:r>
    </w:p>
    <w:p w14:paraId="593AFA93" w14:textId="77777777" w:rsidR="002B47B3" w:rsidRDefault="00000000">
      <w:pPr>
        <w:wordWrap w:val="0"/>
        <w:spacing w:after="0" w:line="320" w:lineRule="atLeast"/>
        <w:ind w:left="160" w:right="220" w:hanging="160"/>
        <w:jc w:val="both"/>
        <w:textAlignment w:val="baseline"/>
        <w:rPr>
          <w:rFonts w:hint="eastAsia"/>
          <w:sz w:val="24"/>
        </w:rPr>
      </w:pPr>
      <w:r>
        <w:rPr>
          <w:rFonts w:ascii="黑体" w:eastAsia="黑体" w:hAnsi="黑体" w:cs="黑体"/>
          <w:color w:val="000000"/>
          <w:sz w:val="24"/>
        </w:rPr>
        <w:t>7.近年来，我国学前教育得到了快速发展，但“入园难”和“入园贵”的问题仍然存在，与人民群众的期待还有一定差距。十四届全国人大常委会第十二次会议表决通过了《中华人 民共和国学前教育法》，自2025年6月1日起施行。该法的制定</w:t>
      </w:r>
    </w:p>
    <w:p w14:paraId="46ABC287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  <w:sz w:val="24"/>
        </w:rPr>
      </w:pPr>
      <w:r>
        <w:rPr>
          <w:rFonts w:ascii="黑体" w:eastAsia="黑体" w:hAnsi="黑体" w:cs="黑体"/>
          <w:color w:val="000000"/>
          <w:sz w:val="24"/>
        </w:rPr>
        <w:t>①有助于切实降低家庭育儿成本，提升学前儿童家长的幸福感</w:t>
      </w:r>
    </w:p>
    <w:p w14:paraId="465288D0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  <w:sz w:val="24"/>
        </w:rPr>
      </w:pPr>
      <w:r>
        <w:rPr>
          <w:rFonts w:ascii="黑体" w:eastAsia="黑体" w:hAnsi="黑体" w:cs="黑体"/>
          <w:color w:val="000000"/>
          <w:sz w:val="24"/>
        </w:rPr>
        <w:t>②完善了法律实施机制，更好地服务国家人口高质量发展战略</w:t>
      </w:r>
    </w:p>
    <w:p w14:paraId="6757703F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  <w:sz w:val="24"/>
        </w:rPr>
      </w:pPr>
      <w:r>
        <w:rPr>
          <w:rFonts w:ascii="黑体" w:eastAsia="黑体" w:hAnsi="黑体" w:cs="黑体"/>
          <w:color w:val="000000"/>
          <w:sz w:val="24"/>
        </w:rPr>
        <w:t>③是人大行使表决权，把党对学前教育的主张转化为国家意志</w:t>
      </w:r>
    </w:p>
    <w:p w14:paraId="207A152D" w14:textId="77777777" w:rsidR="002B47B3" w:rsidRDefault="002B47B3">
      <w:pPr>
        <w:wordWrap w:val="0"/>
        <w:spacing w:after="0" w:line="200" w:lineRule="exact"/>
        <w:jc w:val="both"/>
        <w:textAlignment w:val="baseline"/>
        <w:rPr>
          <w:rFonts w:hint="eastAsia"/>
          <w:sz w:val="19"/>
        </w:rPr>
      </w:pPr>
    </w:p>
    <w:p w14:paraId="068B3598" w14:textId="77777777" w:rsidR="002B47B3" w:rsidRDefault="002B47B3">
      <w:pPr>
        <w:wordWrap w:val="0"/>
        <w:spacing w:after="0" w:line="200" w:lineRule="exact"/>
        <w:jc w:val="both"/>
        <w:textAlignment w:val="baseline"/>
        <w:rPr>
          <w:rFonts w:hint="eastAsia"/>
          <w:sz w:val="19"/>
        </w:rPr>
      </w:pPr>
    </w:p>
    <w:p w14:paraId="2593BE52" w14:textId="77777777" w:rsidR="002B47B3" w:rsidRDefault="00000000">
      <w:pPr>
        <w:wordWrap w:val="0"/>
        <w:spacing w:after="0" w:line="260" w:lineRule="atLeast"/>
        <w:jc w:val="center"/>
        <w:textAlignment w:val="baseline"/>
        <w:rPr>
          <w:rFonts w:hint="eastAsia"/>
          <w:sz w:val="19"/>
        </w:rPr>
        <w:sectPr w:rsidR="002B47B3">
          <w:pgSz w:w="11900" w:h="16820"/>
          <w:pgMar w:top="1240" w:right="1480" w:bottom="1240" w:left="1480" w:header="720" w:footer="720" w:gutter="0"/>
          <w:cols w:space="720"/>
        </w:sectPr>
      </w:pPr>
      <w:r>
        <w:rPr>
          <w:rFonts w:ascii="黑体" w:eastAsia="黑体" w:hAnsi="黑体" w:cs="黑体"/>
          <w:color w:val="000000"/>
          <w:sz w:val="19"/>
        </w:rPr>
        <w:t>第 2 页 共 6 页</w:t>
      </w:r>
    </w:p>
    <w:p w14:paraId="2FF908D0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lastRenderedPageBreak/>
        <w:t>④致力于推进学前教育普惠安全优质发展，夯实教育强国建设</w:t>
      </w:r>
    </w:p>
    <w:p w14:paraId="7FD3CFCD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  <w:sz w:val="23"/>
        </w:rPr>
      </w:pPr>
      <w:r>
        <w:rPr>
          <w:rFonts w:ascii="黑体" w:eastAsia="黑体" w:hAnsi="黑体" w:cs="黑体"/>
          <w:color w:val="000000"/>
          <w:sz w:val="23"/>
        </w:rPr>
        <w:t>A. ①③             B.①④          C.②③             D.②④</w:t>
      </w:r>
    </w:p>
    <w:p w14:paraId="7BD7ED2C" w14:textId="77777777" w:rsidR="002B47B3" w:rsidRDefault="00000000">
      <w:pPr>
        <w:wordWrap w:val="0"/>
        <w:spacing w:after="0" w:line="320" w:lineRule="atLeast"/>
        <w:ind w:left="140" w:hanging="140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8.人民法院以党建为引领，深度推进调解平台“进乡村、进社区、进网格”工作，截止2024年6月底，与19.9万家基层治理单位在线对接，法院参与就地化解纠纷65.2万件。全国 法院诉前成功调解诉讼纠纷636.4万件，同比增长19.2%，收案增速下降13.4%。这一做法 有利于</w:t>
      </w:r>
    </w:p>
    <w:p w14:paraId="25B29B03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①延伸司法职能，推动法治力量向引导端用力</w:t>
      </w:r>
    </w:p>
    <w:p w14:paraId="4FF17677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②强化源头治理，从根本上保障公民身心健康</w:t>
      </w:r>
    </w:p>
    <w:p w14:paraId="7D5A8BCB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③实现政治效果、社会效果、法律效果有机统一</w:t>
      </w:r>
    </w:p>
    <w:p w14:paraId="15B1DF6A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④提升法律监督机关对基层矛盾纠纷处置的能力</w:t>
      </w:r>
    </w:p>
    <w:p w14:paraId="63D491F0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  <w:sz w:val="23"/>
        </w:rPr>
      </w:pPr>
      <w:r>
        <w:rPr>
          <w:rFonts w:ascii="黑体" w:eastAsia="黑体" w:hAnsi="黑体" w:cs="黑体"/>
          <w:color w:val="000000"/>
          <w:sz w:val="23"/>
        </w:rPr>
        <w:t>A.①③             B.①④          C.②③           D.②④</w:t>
      </w:r>
    </w:p>
    <w:p w14:paraId="6CEF995F" w14:textId="77777777" w:rsidR="002B47B3" w:rsidRDefault="00000000">
      <w:pPr>
        <w:wordWrap w:val="0"/>
        <w:spacing w:after="0" w:line="320" w:lineRule="atLeast"/>
        <w:ind w:left="140" w:hanging="140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9.作为古老的纯手工技艺，彝族漆器</w:t>
      </w:r>
      <w:proofErr w:type="gramStart"/>
      <w:r>
        <w:rPr>
          <w:rFonts w:ascii="黑体" w:eastAsia="黑体" w:hAnsi="黑体" w:cs="黑体"/>
          <w:color w:val="000000"/>
        </w:rPr>
        <w:t>霖</w:t>
      </w:r>
      <w:proofErr w:type="gramEnd"/>
      <w:r>
        <w:rPr>
          <w:rFonts w:ascii="黑体" w:eastAsia="黑体" w:hAnsi="黑体" w:cs="黑体"/>
          <w:color w:val="000000"/>
        </w:rPr>
        <w:t>饰技艺与彝族神话史诗、民间文学乃至传统民歌息</w:t>
      </w:r>
      <w:proofErr w:type="gramStart"/>
      <w:r>
        <w:rPr>
          <w:rFonts w:ascii="黑体" w:eastAsia="黑体" w:hAnsi="黑体" w:cs="黑体"/>
          <w:color w:val="000000"/>
        </w:rPr>
        <w:t>息</w:t>
      </w:r>
      <w:proofErr w:type="gramEnd"/>
      <w:r>
        <w:rPr>
          <w:rFonts w:ascii="黑体" w:eastAsia="黑体" w:hAnsi="黑体" w:cs="黑体"/>
          <w:color w:val="000000"/>
        </w:rPr>
        <w:t xml:space="preserve"> 相关。观彝族漆器，民族图腾元素色彩明艳庄重、纹样繁复精美；用彝族漆器，出门入户， 放牧归田，方知其品类多样实用；品漆器文化，凝聚着彝族群众审美鉴赏与文化追求的无 言史诗。这表明</w:t>
      </w:r>
    </w:p>
    <w:p w14:paraId="3EDBD503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①彝族群众对美好生活的向往规定了历史的面貌</w:t>
      </w:r>
    </w:p>
    <w:p w14:paraId="1287A58A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②放牧归田的活动方式体现了当地人民的世界观</w:t>
      </w:r>
    </w:p>
    <w:p w14:paraId="78E6639D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③将漆器文化与生产生活相联系是对客观对象反映的结果</w:t>
      </w:r>
    </w:p>
    <w:p w14:paraId="39887EFD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④漆器作为人为事物的联系比自在事物的联系更高级、更复杂</w:t>
      </w:r>
    </w:p>
    <w:p w14:paraId="447C7A9D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  <w:sz w:val="23"/>
        </w:rPr>
      </w:pPr>
      <w:r>
        <w:rPr>
          <w:rFonts w:ascii="黑体" w:eastAsia="黑体" w:hAnsi="黑体" w:cs="黑体"/>
          <w:color w:val="000000"/>
          <w:sz w:val="23"/>
        </w:rPr>
        <w:t>A.①③             B.①④         C.②③          D.②④</w:t>
      </w:r>
    </w:p>
    <w:p w14:paraId="7678B68B" w14:textId="77777777" w:rsidR="002B47B3" w:rsidRDefault="00000000">
      <w:pPr>
        <w:wordWrap w:val="0"/>
        <w:spacing w:after="0" w:line="320" w:lineRule="atLeast"/>
        <w:ind w:left="140" w:right="20" w:hanging="140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10.穿戴电子设备在生活中随处可见，然而这些设备需要频繁充电，无疑是一个让人头疼的问 题。近日，科学家发明了一种可穿戴热电设备，它能利用人体温度和周围较冷空气之间的 温差，将热能转换为电能。由此可见</w:t>
      </w:r>
    </w:p>
    <w:p w14:paraId="0FFFE6B7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①认识产生于实践的需要</w:t>
      </w:r>
    </w:p>
    <w:p w14:paraId="6742A377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②需要发挥主观能动性不断深化认识</w:t>
      </w:r>
    </w:p>
    <w:p w14:paraId="0285F3C9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③以实践为基础的认识具有直接现实性</w:t>
      </w:r>
    </w:p>
    <w:p w14:paraId="67E61A8B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④认识的目的是从感性认识上升到理性认识</w:t>
      </w:r>
    </w:p>
    <w:p w14:paraId="01952D01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  <w:sz w:val="23"/>
        </w:rPr>
      </w:pPr>
      <w:r>
        <w:rPr>
          <w:rFonts w:ascii="黑体" w:eastAsia="黑体" w:hAnsi="黑体" w:cs="黑体"/>
          <w:color w:val="000000"/>
          <w:sz w:val="23"/>
        </w:rPr>
        <w:t>A.①②             B.①③         C.②④             D.③④</w:t>
      </w:r>
    </w:p>
    <w:p w14:paraId="52EC360F" w14:textId="77777777" w:rsidR="002B47B3" w:rsidRDefault="00000000">
      <w:pPr>
        <w:wordWrap w:val="0"/>
        <w:spacing w:after="0" w:line="320" w:lineRule="atLeast"/>
        <w:ind w:left="140" w:right="80" w:hanging="140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11.“人民楷模”王有德带领白芨滩林场职工种下68万亩防风固沙林，将沙漠从黄河岸边推 后30多公里，实现了人进沙退的伟大壮举。退休后的他“再就业”，用10年时间改造万 余亩荒滩，将“生命不息、治沙不止”的理想信念再度延续。这启示我们</w:t>
      </w:r>
    </w:p>
    <w:p w14:paraId="4AE2CE38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①坚持集体利益至上是正确价值选择的前提</w:t>
      </w:r>
    </w:p>
    <w:p w14:paraId="7A0E0771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②价值观影响人改造世界的活动和行为选择</w:t>
      </w:r>
    </w:p>
    <w:p w14:paraId="074076BC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③有意义的人生总是与推动社会发展相关联</w:t>
      </w:r>
    </w:p>
    <w:p w14:paraId="4F17C75D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④人的真正价值在于社会对自我价值的肯定</w:t>
      </w:r>
    </w:p>
    <w:p w14:paraId="5E48160C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  <w:sz w:val="23"/>
        </w:rPr>
      </w:pPr>
      <w:r>
        <w:rPr>
          <w:rFonts w:ascii="黑体" w:eastAsia="黑体" w:hAnsi="黑体" w:cs="黑体"/>
          <w:color w:val="000000"/>
          <w:sz w:val="23"/>
        </w:rPr>
        <w:t>A.①③              B.①④         C.②③             D.②④</w:t>
      </w:r>
    </w:p>
    <w:p w14:paraId="0E82AD58" w14:textId="77777777" w:rsidR="002B47B3" w:rsidRDefault="00000000">
      <w:pPr>
        <w:wordWrap w:val="0"/>
        <w:spacing w:after="0" w:line="320" w:lineRule="atLeast"/>
        <w:ind w:left="140" w:hanging="140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12.2024年12月4日，我国申报的“春节—中国人庆祝传统新年的社会实践”被联合国教科 文组织列入人类非物质文化遗产代表作名录。春节期间，人们逛庙会、闹社火、赏花灯……</w:t>
      </w:r>
    </w:p>
    <w:p w14:paraId="4640BA6C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丰富的社区实践活动持续到正月十五。春节申遗成功</w:t>
      </w:r>
    </w:p>
    <w:p w14:paraId="3C3C9694" w14:textId="77777777" w:rsidR="002B47B3" w:rsidRDefault="002B47B3">
      <w:pPr>
        <w:wordWrap w:val="0"/>
        <w:spacing w:after="0" w:line="320" w:lineRule="exact"/>
        <w:jc w:val="both"/>
        <w:textAlignment w:val="baseline"/>
        <w:rPr>
          <w:rFonts w:hint="eastAsia"/>
        </w:rPr>
      </w:pPr>
    </w:p>
    <w:p w14:paraId="7B698155" w14:textId="77777777" w:rsidR="002B47B3" w:rsidRDefault="00000000">
      <w:pPr>
        <w:wordWrap w:val="0"/>
        <w:spacing w:after="0" w:line="240" w:lineRule="atLeast"/>
        <w:jc w:val="center"/>
        <w:textAlignment w:val="baseline"/>
        <w:rPr>
          <w:rFonts w:hint="eastAsia"/>
          <w:sz w:val="17"/>
        </w:rPr>
      </w:pPr>
      <w:r>
        <w:rPr>
          <w:rFonts w:ascii="黑体" w:eastAsia="黑体" w:hAnsi="黑体" w:cs="黑体"/>
          <w:color w:val="000000"/>
          <w:sz w:val="17"/>
        </w:rPr>
        <w:t>第 3 页 共 6 页</w:t>
      </w:r>
      <w:r>
        <w:br w:type="page"/>
      </w:r>
    </w:p>
    <w:p w14:paraId="1993845B" w14:textId="77777777" w:rsidR="002B47B3" w:rsidRDefault="00000000">
      <w:pPr>
        <w:wordWrap w:val="0"/>
        <w:spacing w:after="0" w:line="30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lastRenderedPageBreak/>
        <w:t>①展现了中华民族文化的优越性        ②增强了中华文明的传播力影响力</w:t>
      </w:r>
    </w:p>
    <w:p w14:paraId="4B494EE1" w14:textId="77777777" w:rsidR="002B47B3" w:rsidRDefault="00000000">
      <w:pPr>
        <w:wordWrap w:val="0"/>
        <w:spacing w:after="0" w:line="30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③增进了海内外中华儿女的文化认同    ④证明了中国人民智慧引领世界发展</w:t>
      </w:r>
    </w:p>
    <w:p w14:paraId="5663F3F0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  <w:sz w:val="23"/>
        </w:rPr>
      </w:pPr>
      <w:r>
        <w:rPr>
          <w:rFonts w:ascii="黑体" w:eastAsia="黑体" w:hAnsi="黑体" w:cs="黑体"/>
          <w:color w:val="000000"/>
          <w:sz w:val="23"/>
        </w:rPr>
        <w:t>A.①③        B.①④           C.②③           D.②④</w:t>
      </w:r>
    </w:p>
    <w:p w14:paraId="53923519" w14:textId="77777777" w:rsidR="002B47B3" w:rsidRDefault="00000000">
      <w:pPr>
        <w:wordWrap w:val="0"/>
        <w:spacing w:after="0" w:line="300" w:lineRule="atLeast"/>
        <w:ind w:left="140" w:hanging="140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13.自2024年12月1日起，中国给予包括33个非洲国家在内的所有同中国建交的最不发达 国家100%税目产品零关税待遇，成为实施这一举措的首个发展中大国和世界主要经济体。此举旨在</w:t>
      </w:r>
    </w:p>
    <w:p w14:paraId="2B0BE40A" w14:textId="77777777" w:rsidR="002B47B3" w:rsidRDefault="00000000">
      <w:pPr>
        <w:wordWrap w:val="0"/>
        <w:spacing w:after="0" w:line="30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①主导世界经济发展趋势              ②推动普惠包容的经济全球化</w:t>
      </w:r>
    </w:p>
    <w:p w14:paraId="023812F4" w14:textId="77777777" w:rsidR="002B47B3" w:rsidRDefault="00000000">
      <w:pPr>
        <w:wordWrap w:val="0"/>
        <w:spacing w:after="0" w:line="30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③强化中非同盟关系，彰显大国担当    ④扩大单边开放，同世界分享发展机遇</w:t>
      </w:r>
    </w:p>
    <w:p w14:paraId="3C3BBA69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  <w:sz w:val="23"/>
        </w:rPr>
      </w:pPr>
      <w:proofErr w:type="gramStart"/>
      <w:r>
        <w:rPr>
          <w:rFonts w:ascii="黑体" w:eastAsia="黑体" w:hAnsi="黑体" w:cs="黑体"/>
          <w:color w:val="000000"/>
          <w:sz w:val="23"/>
        </w:rPr>
        <w:t>A .①</w:t>
      </w:r>
      <w:proofErr w:type="gramEnd"/>
      <w:r>
        <w:rPr>
          <w:rFonts w:ascii="黑体" w:eastAsia="黑体" w:hAnsi="黑体" w:cs="黑体"/>
          <w:color w:val="000000"/>
          <w:sz w:val="23"/>
        </w:rPr>
        <w:t>③           B.①④           C.②③        D.②④</w:t>
      </w:r>
    </w:p>
    <w:p w14:paraId="5A6B2896" w14:textId="77777777" w:rsidR="002B47B3" w:rsidRDefault="00000000">
      <w:pPr>
        <w:wordWrap w:val="0"/>
        <w:spacing w:after="0" w:line="300" w:lineRule="atLeast"/>
        <w:ind w:left="140" w:hanging="140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14.亚太经合组织(APEC)   致力于为成员之间的经济合作提供广阔的平台，带动亚太地区实 现大发展、大繁荣、大融通，助推亚太成为全球经济最具活力板块和主要增长引擎。由此 可见，亚太经合组织</w:t>
      </w:r>
    </w:p>
    <w:p w14:paraId="5C00D630" w14:textId="77777777" w:rsidR="002B47B3" w:rsidRDefault="00000000">
      <w:pPr>
        <w:wordWrap w:val="0"/>
        <w:spacing w:after="0" w:line="30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①是区域性、一般性国际组织          ②通过独特的方式推进成员间合作</w:t>
      </w:r>
    </w:p>
    <w:p w14:paraId="2725C528" w14:textId="77777777" w:rsidR="002B47B3" w:rsidRDefault="00000000">
      <w:pPr>
        <w:wordWrap w:val="0"/>
        <w:spacing w:after="0" w:line="30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③是实践多边主义的最佳场所          ④旨在维护亚太区域经济可持续增长</w:t>
      </w:r>
    </w:p>
    <w:p w14:paraId="6F096193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  <w:sz w:val="23"/>
        </w:rPr>
      </w:pPr>
      <w:r>
        <w:rPr>
          <w:rFonts w:ascii="黑体" w:eastAsia="黑体" w:hAnsi="黑体" w:cs="黑体"/>
          <w:color w:val="000000"/>
          <w:sz w:val="23"/>
        </w:rPr>
        <w:t>A.①③           B.①④           C.②③        D.②④</w:t>
      </w:r>
    </w:p>
    <w:p w14:paraId="55F140A2" w14:textId="77777777" w:rsidR="002B47B3" w:rsidRDefault="00000000">
      <w:pPr>
        <w:wordWrap w:val="0"/>
        <w:spacing w:after="0" w:line="300" w:lineRule="atLeast"/>
        <w:ind w:left="140" w:hanging="140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15.杨某、王某合伙经营体育培训班，范某(14周岁)在该班参加体育培训。2024年4月12 日，范某进行立定跳远科目训练时，在范某起身跳远过程中，韩某(12周岁)从</w:t>
      </w:r>
      <w:proofErr w:type="gramStart"/>
      <w:r>
        <w:rPr>
          <w:rFonts w:ascii="黑体" w:eastAsia="黑体" w:hAnsi="黑体" w:cs="黑体"/>
          <w:color w:val="000000"/>
        </w:rPr>
        <w:t>一</w:t>
      </w:r>
      <w:proofErr w:type="gramEnd"/>
      <w:r>
        <w:rPr>
          <w:rFonts w:ascii="黑体" w:eastAsia="黑体" w:hAnsi="黑体" w:cs="黑体"/>
          <w:color w:val="000000"/>
        </w:rPr>
        <w:t>侧向</w:t>
      </w:r>
      <w:proofErr w:type="gramStart"/>
      <w:r>
        <w:rPr>
          <w:rFonts w:ascii="黑体" w:eastAsia="黑体" w:hAnsi="黑体" w:cs="黑体"/>
          <w:color w:val="000000"/>
        </w:rPr>
        <w:t>范</w:t>
      </w:r>
      <w:proofErr w:type="gramEnd"/>
      <w:r>
        <w:rPr>
          <w:rFonts w:ascii="黑体" w:eastAsia="黑体" w:hAnsi="黑体" w:cs="黑体"/>
          <w:color w:val="000000"/>
        </w:rPr>
        <w:t xml:space="preserve"> 某跑过去，将范某撞倒，导致范某左锁骨骨折，在医院住院手术治疗7天，花费医疗费 7534.93元。本案中</w:t>
      </w:r>
    </w:p>
    <w:p w14:paraId="234966FD" w14:textId="77777777" w:rsidR="002B47B3" w:rsidRDefault="00000000">
      <w:pPr>
        <w:wordWrap w:val="0"/>
        <w:spacing w:after="0" w:line="30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①范某生命权、健康权受到侵害</w:t>
      </w:r>
    </w:p>
    <w:p w14:paraId="5200AD1C" w14:textId="77777777" w:rsidR="002B47B3" w:rsidRDefault="00000000">
      <w:pPr>
        <w:wordWrap w:val="0"/>
        <w:spacing w:after="0" w:line="30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②实行“谁主张，谁举证”原则</w:t>
      </w:r>
    </w:p>
    <w:p w14:paraId="7EFDE3A9" w14:textId="77777777" w:rsidR="002B47B3" w:rsidRDefault="00000000">
      <w:pPr>
        <w:wordWrap w:val="0"/>
        <w:spacing w:after="0" w:line="30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③杨某、王某未尽到安全保障义务，承担赔偿责任</w:t>
      </w:r>
    </w:p>
    <w:p w14:paraId="6D13B816" w14:textId="77777777" w:rsidR="002B47B3" w:rsidRDefault="00000000">
      <w:pPr>
        <w:wordWrap w:val="0"/>
        <w:spacing w:after="0" w:line="30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④韩某是限制民事行为能力人，由其监护人承担违约责任</w:t>
      </w:r>
    </w:p>
    <w:p w14:paraId="288A2133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  <w:sz w:val="23"/>
        </w:rPr>
      </w:pPr>
      <w:r>
        <w:rPr>
          <w:rFonts w:ascii="黑体" w:eastAsia="黑体" w:hAnsi="黑体" w:cs="黑体"/>
          <w:color w:val="000000"/>
          <w:sz w:val="23"/>
        </w:rPr>
        <w:t>A.①③            B.①④          C.②③        D.②④</w:t>
      </w:r>
    </w:p>
    <w:p w14:paraId="56286915" w14:textId="77777777" w:rsidR="002B47B3" w:rsidRDefault="00000000">
      <w:pPr>
        <w:wordWrap w:val="0"/>
        <w:spacing w:after="0" w:line="300" w:lineRule="atLeast"/>
        <w:ind w:left="140" w:right="40" w:hanging="140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16.赵某到某电热公司工作，双方未签订书面劳动合同，该公司与赵某协商，不为赵某缴纳社 会保险费，但每个月工资多发800元，赵某接受。后因工作过程中产生矛盾，赵某以公司未为其交纳社保为由，  于是给公司邮寄《依法解除劳动合同关系通知书》，该公司拒绝，  双方为此发生争议。关于本案，下列判断正确的是</w:t>
      </w:r>
    </w:p>
    <w:p w14:paraId="67543660" w14:textId="77777777" w:rsidR="002B47B3" w:rsidRDefault="00000000">
      <w:pPr>
        <w:wordWrap w:val="0"/>
        <w:spacing w:after="0" w:line="30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①赵某和某电热公司的劳动关系是有效的 ②赵某可以直接向人民法院提出诉讼维权</w:t>
      </w:r>
    </w:p>
    <w:p w14:paraId="24B6E25C" w14:textId="77777777" w:rsidR="002B47B3" w:rsidRDefault="00000000">
      <w:pPr>
        <w:wordWrap w:val="0"/>
        <w:spacing w:after="0" w:line="30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③用人单位尊重了当事人的自主选择    ④用人单位应当承担自己的法定责任</w:t>
      </w:r>
    </w:p>
    <w:p w14:paraId="1716A2F7" w14:textId="77777777" w:rsidR="002B47B3" w:rsidRDefault="00000000">
      <w:pPr>
        <w:wordWrap w:val="0"/>
        <w:spacing w:after="0" w:line="320" w:lineRule="atLeast"/>
        <w:jc w:val="both"/>
        <w:textAlignment w:val="baseline"/>
        <w:rPr>
          <w:rFonts w:hint="eastAsia"/>
          <w:sz w:val="23"/>
        </w:rPr>
      </w:pPr>
      <w:r>
        <w:rPr>
          <w:rFonts w:ascii="黑体" w:eastAsia="黑体" w:hAnsi="黑体" w:cs="黑体"/>
          <w:color w:val="000000"/>
          <w:sz w:val="23"/>
        </w:rPr>
        <w:t>A. ①②         B.①④         C.②③           D.③④</w:t>
      </w:r>
    </w:p>
    <w:p w14:paraId="5A769267" w14:textId="77777777" w:rsidR="002B47B3" w:rsidRDefault="00000000">
      <w:pPr>
        <w:wordWrap w:val="0"/>
        <w:spacing w:after="0" w:line="340" w:lineRule="atLeast"/>
        <w:jc w:val="center"/>
        <w:textAlignment w:val="baseline"/>
        <w:rPr>
          <w:rFonts w:hint="eastAsia"/>
          <w:sz w:val="25"/>
        </w:rPr>
      </w:pPr>
      <w:r>
        <w:rPr>
          <w:rFonts w:ascii="黑体" w:eastAsia="黑体" w:hAnsi="黑体" w:cs="黑体"/>
          <w:color w:val="000000"/>
          <w:sz w:val="25"/>
        </w:rPr>
        <w:t>第Ⅱ卷(非选择题，共52分)</w:t>
      </w:r>
    </w:p>
    <w:p w14:paraId="11DB6DDC" w14:textId="77777777" w:rsidR="002B47B3" w:rsidRDefault="00000000">
      <w:pPr>
        <w:wordWrap w:val="0"/>
        <w:spacing w:before="60" w:after="0" w:line="280" w:lineRule="atLeast"/>
        <w:jc w:val="both"/>
        <w:textAlignment w:val="baseline"/>
        <w:rPr>
          <w:rFonts w:hint="eastAsia"/>
          <w:sz w:val="20"/>
        </w:rPr>
      </w:pPr>
      <w:r>
        <w:rPr>
          <w:rFonts w:ascii="黑体" w:eastAsia="黑体" w:hAnsi="黑体" w:cs="黑体"/>
          <w:color w:val="000000"/>
          <w:sz w:val="20"/>
        </w:rPr>
        <w:t>二、非选择题，共52分。</w:t>
      </w:r>
    </w:p>
    <w:p w14:paraId="2A124EBD" w14:textId="77777777" w:rsidR="002B47B3" w:rsidRDefault="00000000">
      <w:pPr>
        <w:wordWrap w:val="0"/>
        <w:spacing w:after="0" w:line="300" w:lineRule="atLeast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17.阅读材料，完成下列要求。(20分)</w:t>
      </w:r>
    </w:p>
    <w:p w14:paraId="1B637CE2" w14:textId="77777777" w:rsidR="002B47B3" w:rsidRDefault="00000000">
      <w:pPr>
        <w:wordWrap w:val="0"/>
        <w:spacing w:after="0" w:line="300" w:lineRule="atLeast"/>
        <w:ind w:right="140" w:firstLine="540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坚持全面深化改革，坚持以实现中华民族伟大复兴为使命推进中国特色大国</w:t>
      </w:r>
      <w:proofErr w:type="gramStart"/>
      <w:r>
        <w:rPr>
          <w:rFonts w:ascii="黑体" w:eastAsia="黑体" w:hAnsi="黑体" w:cs="黑体"/>
          <w:color w:val="000000"/>
        </w:rPr>
        <w:t>外交是习近</w:t>
      </w:r>
      <w:proofErr w:type="gramEnd"/>
      <w:r>
        <w:rPr>
          <w:rFonts w:ascii="黑体" w:eastAsia="黑体" w:hAnsi="黑体" w:cs="黑体"/>
          <w:color w:val="000000"/>
        </w:rPr>
        <w:t xml:space="preserve"> 平新时代中国特色社会主义思想的重要内容。</w:t>
      </w:r>
    </w:p>
    <w:p w14:paraId="52BAA3DF" w14:textId="77777777" w:rsidR="002B47B3" w:rsidRDefault="00000000">
      <w:pPr>
        <w:wordWrap w:val="0"/>
        <w:spacing w:after="0" w:line="300" w:lineRule="atLeast"/>
        <w:ind w:right="100" w:firstLine="540"/>
        <w:jc w:val="both"/>
        <w:textAlignment w:val="baseline"/>
        <w:rPr>
          <w:rFonts w:hint="eastAsia"/>
        </w:rPr>
      </w:pPr>
      <w:r>
        <w:rPr>
          <w:rFonts w:ascii="黑体" w:eastAsia="黑体" w:hAnsi="黑体" w:cs="黑体"/>
          <w:color w:val="000000"/>
        </w:rPr>
        <w:t>材料</w:t>
      </w:r>
      <w:proofErr w:type="gramStart"/>
      <w:r>
        <w:rPr>
          <w:rFonts w:ascii="黑体" w:eastAsia="黑体" w:hAnsi="黑体" w:cs="黑体"/>
          <w:color w:val="000000"/>
        </w:rPr>
        <w:t>一</w:t>
      </w:r>
      <w:proofErr w:type="gramEnd"/>
      <w:r>
        <w:rPr>
          <w:rFonts w:ascii="黑体" w:eastAsia="黑体" w:hAnsi="黑体" w:cs="黑体"/>
          <w:color w:val="000000"/>
        </w:rPr>
        <w:t xml:space="preserve"> 当前百年变局正在全方位、深层次加速演进，我国发展进入战略机遇和风险挑 战并存、不确定难预料因素增多的时期。应对风险挑战、塑造国际竞争新优势，必须坚持守正创新。只有坚持守正，毫不动摇坚持党的基本理论、基本路线、基本方略，才能做到“任 凭风浪起，稳坐钓鱼船”；只有坚持创新，善于因势而动、顺势而为，才能在危机中育新机、于变局中开新局。进一步全面深化改革涉及范围广、触及利益深、攻坚难度大，必须把守</w:t>
      </w:r>
      <w:proofErr w:type="gramStart"/>
      <w:r>
        <w:rPr>
          <w:rFonts w:ascii="黑体" w:eastAsia="黑体" w:hAnsi="黑体" w:cs="黑体"/>
          <w:color w:val="000000"/>
        </w:rPr>
        <w:t>正创新</w:t>
      </w:r>
      <w:proofErr w:type="gramEnd"/>
      <w:r>
        <w:rPr>
          <w:rFonts w:ascii="黑体" w:eastAsia="黑体" w:hAnsi="黑体" w:cs="黑体"/>
          <w:color w:val="000000"/>
        </w:rPr>
        <w:t>贯彻到改革各领域全过程。</w:t>
      </w:r>
    </w:p>
    <w:p w14:paraId="5D2D7D93" w14:textId="77777777" w:rsidR="002B47B3" w:rsidRDefault="002B47B3">
      <w:pPr>
        <w:wordWrap w:val="0"/>
        <w:spacing w:after="0" w:line="200" w:lineRule="exact"/>
        <w:jc w:val="both"/>
        <w:textAlignment w:val="baseline"/>
        <w:rPr>
          <w:rFonts w:hint="eastAsia"/>
          <w:sz w:val="18"/>
        </w:rPr>
      </w:pPr>
    </w:p>
    <w:p w14:paraId="353748E5" w14:textId="77777777" w:rsidR="002B47B3" w:rsidRDefault="00000000">
      <w:pPr>
        <w:wordWrap w:val="0"/>
        <w:spacing w:after="0" w:line="260" w:lineRule="atLeast"/>
        <w:jc w:val="center"/>
        <w:textAlignment w:val="baseline"/>
        <w:rPr>
          <w:rFonts w:hint="eastAsia"/>
          <w:sz w:val="18"/>
        </w:rPr>
        <w:sectPr w:rsidR="002B47B3">
          <w:pgSz w:w="11900" w:h="16820"/>
          <w:pgMar w:top="1420" w:right="1780" w:bottom="1420" w:left="1780" w:header="720" w:footer="720" w:gutter="0"/>
          <w:cols w:space="720"/>
        </w:sectPr>
      </w:pPr>
      <w:r>
        <w:rPr>
          <w:rFonts w:ascii="黑体" w:eastAsia="黑体" w:hAnsi="黑体" w:cs="黑体"/>
          <w:color w:val="000000"/>
          <w:sz w:val="18"/>
        </w:rPr>
        <w:t>第 4 页 共 6 页</w:t>
      </w:r>
    </w:p>
    <w:p w14:paraId="24F44086" w14:textId="77777777" w:rsidR="002B47B3" w:rsidRDefault="00000000">
      <w:pPr>
        <w:wordWrap w:val="0"/>
        <w:spacing w:before="240" w:after="0" w:line="340" w:lineRule="atLeast"/>
        <w:ind w:left="280" w:right="800" w:firstLine="400"/>
        <w:jc w:val="both"/>
        <w:textAlignment w:val="baseline"/>
        <w:rPr>
          <w:rFonts w:hint="eastAsia"/>
          <w:sz w:val="24"/>
        </w:rPr>
      </w:pPr>
      <w:r>
        <w:rPr>
          <w:rFonts w:ascii="黑体" w:eastAsia="黑体" w:hAnsi="黑体" w:cs="黑体"/>
          <w:color w:val="000000"/>
          <w:sz w:val="24"/>
        </w:rPr>
        <w:lastRenderedPageBreak/>
        <w:t>材料二 2024年</w:t>
      </w:r>
      <w:proofErr w:type="gramStart"/>
      <w:r>
        <w:rPr>
          <w:rFonts w:ascii="黑体" w:eastAsia="黑体" w:hAnsi="黑体" w:cs="黑体"/>
          <w:color w:val="000000"/>
          <w:sz w:val="24"/>
        </w:rPr>
        <w:t>是习近平主席</w:t>
      </w:r>
      <w:proofErr w:type="gramEnd"/>
      <w:r>
        <w:rPr>
          <w:rFonts w:ascii="黑体" w:eastAsia="黑体" w:hAnsi="黑体" w:cs="黑体"/>
          <w:color w:val="000000"/>
          <w:sz w:val="24"/>
        </w:rPr>
        <w:t>首次提出构建中</w:t>
      </w:r>
      <w:proofErr w:type="gramStart"/>
      <w:r>
        <w:rPr>
          <w:rFonts w:ascii="黑体" w:eastAsia="黑体" w:hAnsi="黑体" w:cs="黑体"/>
          <w:color w:val="000000"/>
          <w:sz w:val="24"/>
        </w:rPr>
        <w:t>拉命运</w:t>
      </w:r>
      <w:proofErr w:type="gramEnd"/>
      <w:r>
        <w:rPr>
          <w:rFonts w:ascii="黑体" w:eastAsia="黑体" w:hAnsi="黑体" w:cs="黑体"/>
          <w:color w:val="000000"/>
          <w:sz w:val="24"/>
        </w:rPr>
        <w:t>共同体10周年。11月13日至21 日，习近</w:t>
      </w:r>
      <w:proofErr w:type="gramStart"/>
      <w:r>
        <w:rPr>
          <w:rFonts w:ascii="黑体" w:eastAsia="黑体" w:hAnsi="黑体" w:cs="黑体"/>
          <w:color w:val="000000"/>
          <w:sz w:val="24"/>
        </w:rPr>
        <w:t>平主席</w:t>
      </w:r>
      <w:proofErr w:type="gramEnd"/>
      <w:r>
        <w:rPr>
          <w:rFonts w:ascii="黑体" w:eastAsia="黑体" w:hAnsi="黑体" w:cs="黑体"/>
          <w:color w:val="000000"/>
          <w:sz w:val="24"/>
        </w:rPr>
        <w:t>赴秘鲁出席APEC 领导人非正式会议和赴巴西出席G20 峰会，并对两国进行 国事访问。</w:t>
      </w:r>
    </w:p>
    <w:p w14:paraId="495C2B85" w14:textId="77777777" w:rsidR="002B47B3" w:rsidRDefault="00000000">
      <w:pPr>
        <w:wordWrap w:val="0"/>
        <w:spacing w:after="0" w:line="340" w:lineRule="atLeast"/>
        <w:ind w:left="280" w:right="780" w:firstLine="400"/>
        <w:jc w:val="both"/>
        <w:textAlignment w:val="baseline"/>
        <w:rPr>
          <w:rFonts w:hint="eastAsia"/>
          <w:sz w:val="24"/>
        </w:rPr>
      </w:pPr>
      <w:r>
        <w:rPr>
          <w:rFonts w:ascii="黑体" w:eastAsia="黑体" w:hAnsi="黑体" w:cs="黑体"/>
          <w:color w:val="000000"/>
          <w:sz w:val="24"/>
        </w:rPr>
        <w:t xml:space="preserve">中拉政治互信逐年提升，中国和巴西联合发表政治解决乌克兰危机的“六点共识”，为局势降温汇聚合力。中国已成为拉美第二大贸易伙伴和拉美多个国家的主要贸易伙伴，与5 </w:t>
      </w:r>
      <w:proofErr w:type="gramStart"/>
      <w:r>
        <w:rPr>
          <w:rFonts w:ascii="黑体" w:eastAsia="黑体" w:hAnsi="黑体" w:cs="黑体"/>
          <w:color w:val="000000"/>
          <w:sz w:val="24"/>
        </w:rPr>
        <w:t>个</w:t>
      </w:r>
      <w:proofErr w:type="gramEnd"/>
      <w:r>
        <w:rPr>
          <w:rFonts w:ascii="黑体" w:eastAsia="黑体" w:hAnsi="黑体" w:cs="黑体"/>
          <w:color w:val="000000"/>
          <w:sz w:val="24"/>
        </w:rPr>
        <w:t>拉美国家签署了自贸协定，2023年中拉双边贸易额达4890亿美元。截至2022年底，中国 对拉美和加勒比地区直接投资存量达5962亿美元，较2013年末翻了近7倍。中国和拉美国 家在教育与学术交流、文化遗产保护与合作等领域积极探索，拉美地区已设立孔子学院或孔 子课堂50多所，为中</w:t>
      </w:r>
      <w:proofErr w:type="gramStart"/>
      <w:r>
        <w:rPr>
          <w:rFonts w:ascii="黑体" w:eastAsia="黑体" w:hAnsi="黑体" w:cs="黑体"/>
          <w:color w:val="000000"/>
          <w:sz w:val="24"/>
        </w:rPr>
        <w:t>拉文明互</w:t>
      </w:r>
      <w:proofErr w:type="gramEnd"/>
      <w:r>
        <w:rPr>
          <w:rFonts w:ascii="黑体" w:eastAsia="黑体" w:hAnsi="黑体" w:cs="黑体"/>
          <w:color w:val="000000"/>
          <w:sz w:val="24"/>
        </w:rPr>
        <w:t>鉴、民心相通搭建起沟通的桥梁。</w:t>
      </w:r>
    </w:p>
    <w:p w14:paraId="6FFE7B29" w14:textId="77777777" w:rsidR="002B47B3" w:rsidRDefault="00000000">
      <w:pPr>
        <w:wordWrap w:val="0"/>
        <w:spacing w:after="0" w:line="340" w:lineRule="atLeast"/>
        <w:ind w:left="780" w:right="1040" w:hanging="500"/>
        <w:jc w:val="both"/>
        <w:textAlignment w:val="baseline"/>
        <w:rPr>
          <w:rFonts w:hint="eastAsia"/>
          <w:sz w:val="24"/>
        </w:rPr>
      </w:pPr>
      <w:r>
        <w:rPr>
          <w:rFonts w:ascii="黑体" w:eastAsia="黑体" w:hAnsi="黑体" w:cs="黑体"/>
          <w:color w:val="000000"/>
          <w:sz w:val="24"/>
        </w:rPr>
        <w:t>(1)  进一步全面深化改革必须牢牢把握“守正”和“创新”的关系。结合材料</w:t>
      </w:r>
      <w:proofErr w:type="gramStart"/>
      <w:r>
        <w:rPr>
          <w:rFonts w:ascii="黑体" w:eastAsia="黑体" w:hAnsi="黑体" w:cs="黑体"/>
          <w:color w:val="000000"/>
          <w:sz w:val="24"/>
        </w:rPr>
        <w:t>一</w:t>
      </w:r>
      <w:proofErr w:type="gramEnd"/>
      <w:r>
        <w:rPr>
          <w:rFonts w:ascii="黑体" w:eastAsia="黑体" w:hAnsi="黑体" w:cs="黑体"/>
          <w:color w:val="000000"/>
          <w:sz w:val="24"/>
        </w:rPr>
        <w:t>运用矛盾 基本属性知识加以说明。(10分)</w:t>
      </w:r>
    </w:p>
    <w:p w14:paraId="10C7B8AD" w14:textId="77777777" w:rsidR="002B47B3" w:rsidRDefault="002B47B3">
      <w:pPr>
        <w:wordWrap w:val="0"/>
        <w:spacing w:after="0" w:line="200" w:lineRule="exact"/>
        <w:jc w:val="both"/>
        <w:textAlignment w:val="baseline"/>
        <w:rPr>
          <w:rFonts w:hint="eastAsia"/>
          <w:sz w:val="24"/>
        </w:rPr>
      </w:pPr>
    </w:p>
    <w:p w14:paraId="59048429" w14:textId="77777777" w:rsidR="002B47B3" w:rsidRDefault="002B47B3">
      <w:pPr>
        <w:wordWrap w:val="0"/>
        <w:spacing w:after="0" w:line="200" w:lineRule="exact"/>
        <w:jc w:val="both"/>
        <w:textAlignment w:val="baseline"/>
        <w:rPr>
          <w:rFonts w:hint="eastAsia"/>
          <w:sz w:val="24"/>
        </w:rPr>
      </w:pPr>
    </w:p>
    <w:p w14:paraId="1D4F0565" w14:textId="77777777" w:rsidR="002B47B3" w:rsidRDefault="002B47B3">
      <w:pPr>
        <w:wordWrap w:val="0"/>
        <w:spacing w:after="0" w:line="200" w:lineRule="exact"/>
        <w:jc w:val="both"/>
        <w:textAlignment w:val="baseline"/>
        <w:rPr>
          <w:rFonts w:hint="eastAsia"/>
          <w:sz w:val="24"/>
        </w:rPr>
      </w:pPr>
    </w:p>
    <w:p w14:paraId="7B8EA7C3" w14:textId="77777777" w:rsidR="002B47B3" w:rsidRDefault="00000000">
      <w:pPr>
        <w:wordWrap w:val="0"/>
        <w:spacing w:after="0" w:line="340" w:lineRule="atLeast"/>
        <w:ind w:left="780" w:hanging="500"/>
        <w:jc w:val="both"/>
        <w:textAlignment w:val="baseline"/>
        <w:rPr>
          <w:rFonts w:hint="eastAsia"/>
          <w:sz w:val="24"/>
        </w:rPr>
      </w:pPr>
      <w:r>
        <w:rPr>
          <w:rFonts w:ascii="黑体" w:eastAsia="黑体" w:hAnsi="黑体" w:cs="黑体"/>
          <w:color w:val="000000"/>
          <w:sz w:val="24"/>
        </w:rPr>
        <w:t>(2) 结合材料二，运用《当代国际政治与经济》知识，阐释中</w:t>
      </w:r>
      <w:proofErr w:type="gramStart"/>
      <w:r>
        <w:rPr>
          <w:rFonts w:ascii="黑体" w:eastAsia="黑体" w:hAnsi="黑体" w:cs="黑体"/>
          <w:color w:val="000000"/>
          <w:sz w:val="24"/>
        </w:rPr>
        <w:t>拉命运</w:t>
      </w:r>
      <w:proofErr w:type="gramEnd"/>
      <w:r>
        <w:rPr>
          <w:rFonts w:ascii="黑体" w:eastAsia="黑体" w:hAnsi="黑体" w:cs="黑体"/>
          <w:color w:val="000000"/>
          <w:sz w:val="24"/>
        </w:rPr>
        <w:t>共同体建设对加强南南合作的启示。(10分)</w:t>
      </w:r>
    </w:p>
    <w:p w14:paraId="2AC6ED43" w14:textId="77777777" w:rsidR="002B47B3" w:rsidRDefault="002B47B3">
      <w:pPr>
        <w:wordWrap w:val="0"/>
        <w:spacing w:after="0" w:line="200" w:lineRule="exact"/>
        <w:jc w:val="both"/>
        <w:textAlignment w:val="baseline"/>
        <w:rPr>
          <w:rFonts w:hint="eastAsia"/>
          <w:sz w:val="24"/>
        </w:rPr>
      </w:pPr>
    </w:p>
    <w:p w14:paraId="2C88DBEA" w14:textId="77777777" w:rsidR="002B47B3" w:rsidRDefault="002B47B3">
      <w:pPr>
        <w:wordWrap w:val="0"/>
        <w:spacing w:after="0" w:line="200" w:lineRule="exact"/>
        <w:jc w:val="both"/>
        <w:textAlignment w:val="baseline"/>
        <w:rPr>
          <w:rFonts w:hint="eastAsia"/>
          <w:sz w:val="24"/>
        </w:rPr>
      </w:pPr>
    </w:p>
    <w:p w14:paraId="196958CE" w14:textId="77777777" w:rsidR="002B47B3" w:rsidRDefault="002B47B3">
      <w:pPr>
        <w:wordWrap w:val="0"/>
        <w:spacing w:after="0" w:line="200" w:lineRule="exact"/>
        <w:jc w:val="both"/>
        <w:textAlignment w:val="baseline"/>
        <w:rPr>
          <w:rFonts w:hint="eastAsia"/>
          <w:sz w:val="24"/>
        </w:rPr>
      </w:pPr>
    </w:p>
    <w:p w14:paraId="7980A489" w14:textId="77777777" w:rsidR="002B47B3" w:rsidRDefault="00000000">
      <w:pPr>
        <w:wordWrap w:val="0"/>
        <w:spacing w:after="0" w:line="340" w:lineRule="atLeast"/>
        <w:ind w:left="280"/>
        <w:jc w:val="both"/>
        <w:textAlignment w:val="baseline"/>
        <w:rPr>
          <w:rFonts w:hint="eastAsia"/>
          <w:sz w:val="24"/>
        </w:rPr>
      </w:pPr>
      <w:r>
        <w:rPr>
          <w:rFonts w:ascii="黑体" w:eastAsia="黑体" w:hAnsi="黑体" w:cs="黑体"/>
          <w:color w:val="000000"/>
          <w:sz w:val="24"/>
        </w:rPr>
        <w:t>18.阅读材料，完成下列要求。(10分)</w:t>
      </w:r>
    </w:p>
    <w:p w14:paraId="57350378" w14:textId="77777777" w:rsidR="002B47B3" w:rsidRDefault="00000000">
      <w:pPr>
        <w:wordWrap w:val="0"/>
        <w:spacing w:after="0" w:line="340" w:lineRule="atLeast"/>
        <w:ind w:left="280"/>
        <w:jc w:val="both"/>
        <w:textAlignment w:val="baseline"/>
        <w:rPr>
          <w:rFonts w:hint="eastAsia"/>
          <w:sz w:val="24"/>
        </w:rPr>
      </w:pPr>
      <w:r>
        <w:rPr>
          <w:rFonts w:ascii="黑体" w:eastAsia="黑体" w:hAnsi="黑体" w:cs="黑体"/>
          <w:color w:val="000000"/>
          <w:sz w:val="24"/>
        </w:rPr>
        <w:t>发挥人民政协助推基层社会治理的作用，把政协制度优势转化为国家治理效能，是新时 代政协深化实践和探索的重要课题。G市政协通过“有事好商量”协商平台的打造使社会治理得以有效运转，形成了共建共治共享社会治理的新格局。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0"/>
        <w:gridCol w:w="1140"/>
        <w:gridCol w:w="1140"/>
        <w:gridCol w:w="2380"/>
        <w:gridCol w:w="2300"/>
      </w:tblGrid>
      <w:tr w:rsidR="002B47B3" w14:paraId="1398A10F" w14:textId="77777777">
        <w:trPr>
          <w:trHeight w:val="300"/>
        </w:trPr>
        <w:tc>
          <w:tcPr>
            <w:tcW w:w="2120" w:type="dxa"/>
            <w:vAlign w:val="center"/>
          </w:tcPr>
          <w:p w14:paraId="27D2FB6C" w14:textId="77777777" w:rsidR="002B47B3" w:rsidRDefault="00000000">
            <w:pPr>
              <w:wordWrap w:val="0"/>
              <w:spacing w:after="0"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黑体" w:eastAsia="黑体" w:hAnsi="黑体" w:cs="黑体"/>
                <w:color w:val="000000"/>
                <w:sz w:val="19"/>
              </w:rPr>
              <w:t>协商议题</w:t>
            </w:r>
          </w:p>
        </w:tc>
        <w:tc>
          <w:tcPr>
            <w:tcW w:w="1140" w:type="dxa"/>
            <w:vAlign w:val="center"/>
          </w:tcPr>
          <w:p w14:paraId="64041621" w14:textId="77777777" w:rsidR="002B47B3" w:rsidRDefault="00000000">
            <w:pPr>
              <w:wordWrap w:val="0"/>
              <w:spacing w:after="0"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黑体" w:eastAsia="黑体" w:hAnsi="黑体" w:cs="黑体"/>
                <w:color w:val="000000"/>
                <w:sz w:val="19"/>
              </w:rPr>
              <w:t>政协牵头专委会</w:t>
            </w:r>
          </w:p>
        </w:tc>
        <w:tc>
          <w:tcPr>
            <w:tcW w:w="1140" w:type="dxa"/>
            <w:vAlign w:val="center"/>
          </w:tcPr>
          <w:p w14:paraId="0BD1DD2A" w14:textId="77777777" w:rsidR="002B47B3" w:rsidRDefault="00000000">
            <w:pPr>
              <w:wordWrap w:val="0"/>
              <w:spacing w:after="0"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黑体" w:eastAsia="黑体" w:hAnsi="黑体" w:cs="黑体"/>
                <w:color w:val="000000"/>
                <w:sz w:val="19"/>
              </w:rPr>
              <w:t>政府牵头部门</w:t>
            </w:r>
          </w:p>
        </w:tc>
        <w:tc>
          <w:tcPr>
            <w:tcW w:w="2380" w:type="dxa"/>
            <w:vAlign w:val="center"/>
          </w:tcPr>
          <w:p w14:paraId="0D1E3A53" w14:textId="77777777" w:rsidR="002B47B3" w:rsidRDefault="00000000">
            <w:pPr>
              <w:wordWrap w:val="0"/>
              <w:spacing w:after="0"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黑体" w:eastAsia="黑体" w:hAnsi="黑体" w:cs="黑体"/>
                <w:color w:val="000000"/>
                <w:sz w:val="19"/>
              </w:rPr>
              <w:t>治理效果</w:t>
            </w:r>
          </w:p>
        </w:tc>
        <w:tc>
          <w:tcPr>
            <w:tcW w:w="2300" w:type="dxa"/>
            <w:vAlign w:val="center"/>
          </w:tcPr>
          <w:p w14:paraId="5BB0401E" w14:textId="77777777" w:rsidR="002B47B3" w:rsidRDefault="00000000">
            <w:pPr>
              <w:wordWrap w:val="0"/>
              <w:spacing w:after="0"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黑体" w:eastAsia="黑体" w:hAnsi="黑体" w:cs="黑体"/>
                <w:color w:val="000000"/>
                <w:sz w:val="19"/>
              </w:rPr>
              <w:t>效果监测</w:t>
            </w:r>
          </w:p>
        </w:tc>
      </w:tr>
      <w:tr w:rsidR="002B47B3" w14:paraId="6603D3D8" w14:textId="77777777">
        <w:trPr>
          <w:trHeight w:val="700"/>
        </w:trPr>
        <w:tc>
          <w:tcPr>
            <w:tcW w:w="2120" w:type="dxa"/>
            <w:vAlign w:val="center"/>
          </w:tcPr>
          <w:p w14:paraId="61676DFA" w14:textId="77777777" w:rsidR="002B47B3" w:rsidRDefault="00000000">
            <w:pPr>
              <w:wordWrap w:val="0"/>
              <w:spacing w:after="0"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黑体" w:eastAsia="黑体" w:hAnsi="黑体" w:cs="黑体"/>
                <w:color w:val="000000"/>
                <w:sz w:val="19"/>
              </w:rPr>
              <w:t>加强共享单车管理</w:t>
            </w:r>
          </w:p>
        </w:tc>
        <w:tc>
          <w:tcPr>
            <w:tcW w:w="1140" w:type="dxa"/>
            <w:vAlign w:val="center"/>
          </w:tcPr>
          <w:p w14:paraId="57F2EC21" w14:textId="77777777" w:rsidR="002B47B3" w:rsidRDefault="00000000">
            <w:pPr>
              <w:wordWrap w:val="0"/>
              <w:spacing w:after="0"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黑体" w:eastAsia="黑体" w:hAnsi="黑体" w:cs="黑体"/>
                <w:color w:val="000000"/>
                <w:sz w:val="19"/>
              </w:rPr>
              <w:t>提案委</w:t>
            </w:r>
          </w:p>
        </w:tc>
        <w:tc>
          <w:tcPr>
            <w:tcW w:w="1140" w:type="dxa"/>
            <w:vAlign w:val="center"/>
          </w:tcPr>
          <w:p w14:paraId="1D59A5CD" w14:textId="77777777" w:rsidR="002B47B3" w:rsidRDefault="00000000">
            <w:pPr>
              <w:wordWrap w:val="0"/>
              <w:spacing w:after="0"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黑体" w:eastAsia="黑体" w:hAnsi="黑体" w:cs="黑体"/>
                <w:color w:val="000000"/>
                <w:sz w:val="19"/>
              </w:rPr>
              <w:t>市交委</w:t>
            </w:r>
          </w:p>
        </w:tc>
        <w:tc>
          <w:tcPr>
            <w:tcW w:w="2380" w:type="dxa"/>
            <w:vAlign w:val="center"/>
          </w:tcPr>
          <w:p w14:paraId="133A6DF6" w14:textId="77777777" w:rsidR="002B47B3" w:rsidRDefault="00000000">
            <w:pPr>
              <w:wordWrap w:val="0"/>
              <w:spacing w:after="0" w:line="240" w:lineRule="atLeast"/>
              <w:ind w:firstLine="40"/>
              <w:jc w:val="both"/>
              <w:textAlignment w:val="baseline"/>
              <w:rPr>
                <w:rFonts w:hint="eastAsia"/>
                <w:sz w:val="19"/>
              </w:rPr>
            </w:pPr>
            <w:r>
              <w:rPr>
                <w:rFonts w:ascii="黑体" w:eastAsia="黑体" w:hAnsi="黑体" w:cs="黑体"/>
                <w:color w:val="000000"/>
                <w:sz w:val="19"/>
              </w:rPr>
              <w:t>提出"单车要共享，也要共治</w:t>
            </w:r>
            <w:proofErr w:type="gramStart"/>
            <w:r>
              <w:rPr>
                <w:rFonts w:ascii="黑体" w:eastAsia="黑体" w:hAnsi="黑体" w:cs="黑体"/>
                <w:color w:val="000000"/>
                <w:sz w:val="19"/>
              </w:rPr>
              <w:t>”</w:t>
            </w:r>
            <w:proofErr w:type="gramEnd"/>
            <w:r>
              <w:rPr>
                <w:rFonts w:ascii="黑体" w:eastAsia="黑体" w:hAnsi="黑体" w:cs="黑体"/>
                <w:color w:val="000000"/>
                <w:sz w:val="19"/>
              </w:rPr>
              <w:t>的建议，以合约管理形式，破解共享单车管理难题</w:t>
            </w:r>
          </w:p>
        </w:tc>
        <w:tc>
          <w:tcPr>
            <w:tcW w:w="2300" w:type="dxa"/>
            <w:vMerge w:val="restart"/>
            <w:vAlign w:val="center"/>
          </w:tcPr>
          <w:p w14:paraId="43992A98" w14:textId="77777777" w:rsidR="002B47B3" w:rsidRDefault="00000000">
            <w:pPr>
              <w:wordWrap w:val="0"/>
              <w:spacing w:after="0"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黑体" w:eastAsia="黑体" w:hAnsi="黑体" w:cs="黑体"/>
                <w:color w:val="000000"/>
                <w:sz w:val="19"/>
              </w:rPr>
              <w:t xml:space="preserve">"硬约束"：通过电视、媒体等引导政府职能部门 </w:t>
            </w:r>
            <w:proofErr w:type="gramStart"/>
            <w:r>
              <w:rPr>
                <w:rFonts w:ascii="黑体" w:eastAsia="黑体" w:hAnsi="黑体" w:cs="黑体"/>
                <w:color w:val="000000"/>
                <w:sz w:val="19"/>
              </w:rPr>
              <w:t>作出</w:t>
            </w:r>
            <w:proofErr w:type="gramEnd"/>
            <w:r>
              <w:rPr>
                <w:rFonts w:ascii="黑体" w:eastAsia="黑体" w:hAnsi="黑体" w:cs="黑体"/>
                <w:color w:val="000000"/>
                <w:sz w:val="19"/>
              </w:rPr>
              <w:t>相关承诺，形成监 督依据，同时就问题做 出媒体回应。</w:t>
            </w:r>
          </w:p>
        </w:tc>
      </w:tr>
      <w:tr w:rsidR="002B47B3" w14:paraId="1C07055C" w14:textId="77777777">
        <w:trPr>
          <w:trHeight w:val="540"/>
        </w:trPr>
        <w:tc>
          <w:tcPr>
            <w:tcW w:w="2120" w:type="dxa"/>
            <w:vAlign w:val="center"/>
          </w:tcPr>
          <w:p w14:paraId="3BE30260" w14:textId="77777777" w:rsidR="002B47B3" w:rsidRDefault="00000000">
            <w:pPr>
              <w:wordWrap w:val="0"/>
              <w:spacing w:after="0"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黑体" w:eastAsia="黑体" w:hAnsi="黑体" w:cs="黑体"/>
                <w:color w:val="000000"/>
                <w:sz w:val="19"/>
              </w:rPr>
              <w:t>停车场和充电</w:t>
            </w:r>
            <w:proofErr w:type="gramStart"/>
            <w:r>
              <w:rPr>
                <w:rFonts w:ascii="黑体" w:eastAsia="黑体" w:hAnsi="黑体" w:cs="黑体"/>
                <w:color w:val="000000"/>
                <w:sz w:val="19"/>
              </w:rPr>
              <w:t>桩建设</w:t>
            </w:r>
            <w:proofErr w:type="gramEnd"/>
          </w:p>
        </w:tc>
        <w:tc>
          <w:tcPr>
            <w:tcW w:w="1140" w:type="dxa"/>
            <w:vAlign w:val="center"/>
          </w:tcPr>
          <w:p w14:paraId="0EDEEEDA" w14:textId="77777777" w:rsidR="002B47B3" w:rsidRDefault="00000000">
            <w:pPr>
              <w:wordWrap w:val="0"/>
              <w:spacing w:after="0"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proofErr w:type="gramStart"/>
            <w:r>
              <w:rPr>
                <w:rFonts w:ascii="黑体" w:eastAsia="黑体" w:hAnsi="黑体" w:cs="黑体"/>
                <w:color w:val="000000"/>
                <w:sz w:val="19"/>
              </w:rPr>
              <w:t>经济委</w:t>
            </w:r>
            <w:proofErr w:type="gramEnd"/>
          </w:p>
        </w:tc>
        <w:tc>
          <w:tcPr>
            <w:tcW w:w="1140" w:type="dxa"/>
            <w:vAlign w:val="center"/>
          </w:tcPr>
          <w:p w14:paraId="197DC9BC" w14:textId="77777777" w:rsidR="002B47B3" w:rsidRDefault="00000000">
            <w:pPr>
              <w:wordWrap w:val="0"/>
              <w:spacing w:after="0"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黑体" w:eastAsia="黑体" w:hAnsi="黑体" w:cs="黑体"/>
                <w:color w:val="000000"/>
                <w:sz w:val="19"/>
              </w:rPr>
              <w:t>市</w:t>
            </w:r>
            <w:proofErr w:type="gramStart"/>
            <w:r>
              <w:rPr>
                <w:rFonts w:ascii="黑体" w:eastAsia="黑体" w:hAnsi="黑体" w:cs="黑体"/>
                <w:color w:val="000000"/>
                <w:sz w:val="19"/>
              </w:rPr>
              <w:t>工信委</w:t>
            </w:r>
            <w:proofErr w:type="gramEnd"/>
          </w:p>
        </w:tc>
        <w:tc>
          <w:tcPr>
            <w:tcW w:w="2380" w:type="dxa"/>
            <w:vAlign w:val="center"/>
          </w:tcPr>
          <w:p w14:paraId="09B0EF0B" w14:textId="77777777" w:rsidR="002B47B3" w:rsidRDefault="00000000">
            <w:pPr>
              <w:wordWrap w:val="0"/>
              <w:spacing w:after="0" w:line="240" w:lineRule="atLeast"/>
              <w:ind w:firstLine="40"/>
              <w:jc w:val="both"/>
              <w:textAlignment w:val="baseline"/>
              <w:rPr>
                <w:rFonts w:hint="eastAsia"/>
                <w:sz w:val="19"/>
              </w:rPr>
            </w:pPr>
            <w:r>
              <w:rPr>
                <w:rFonts w:ascii="黑体" w:eastAsia="黑体" w:hAnsi="黑体" w:cs="黑体"/>
                <w:color w:val="000000"/>
                <w:sz w:val="19"/>
              </w:rPr>
              <w:t>助推立体智能停车场建设起步试点探索</w:t>
            </w:r>
          </w:p>
        </w:tc>
        <w:tc>
          <w:tcPr>
            <w:tcW w:w="2300" w:type="dxa"/>
            <w:vMerge/>
          </w:tcPr>
          <w:p w14:paraId="63CF1FE2" w14:textId="77777777" w:rsidR="002B47B3" w:rsidRDefault="002B47B3">
            <w:pPr>
              <w:rPr>
                <w:rFonts w:hint="eastAsia"/>
              </w:rPr>
            </w:pPr>
          </w:p>
        </w:tc>
      </w:tr>
      <w:tr w:rsidR="002B47B3" w14:paraId="53DEAF40" w14:textId="77777777">
        <w:trPr>
          <w:trHeight w:val="460"/>
        </w:trPr>
        <w:tc>
          <w:tcPr>
            <w:tcW w:w="2120" w:type="dxa"/>
            <w:vAlign w:val="center"/>
          </w:tcPr>
          <w:p w14:paraId="54654F3F" w14:textId="77777777" w:rsidR="002B47B3" w:rsidRDefault="00000000">
            <w:pPr>
              <w:wordWrap w:val="0"/>
              <w:spacing w:after="0"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黑体" w:eastAsia="黑体" w:hAnsi="黑体" w:cs="黑体"/>
                <w:color w:val="000000"/>
                <w:sz w:val="19"/>
              </w:rPr>
              <w:t>协商议题</w:t>
            </w:r>
          </w:p>
        </w:tc>
        <w:tc>
          <w:tcPr>
            <w:tcW w:w="1140" w:type="dxa"/>
            <w:vAlign w:val="center"/>
          </w:tcPr>
          <w:p w14:paraId="4D9DFFE6" w14:textId="77777777" w:rsidR="002B47B3" w:rsidRDefault="00000000">
            <w:pPr>
              <w:wordWrap w:val="0"/>
              <w:spacing w:after="0"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黑体" w:eastAsia="黑体" w:hAnsi="黑体" w:cs="黑体"/>
                <w:color w:val="000000"/>
                <w:sz w:val="19"/>
              </w:rPr>
              <w:t>政协牵头专委会</w:t>
            </w:r>
          </w:p>
        </w:tc>
        <w:tc>
          <w:tcPr>
            <w:tcW w:w="1140" w:type="dxa"/>
            <w:vAlign w:val="center"/>
          </w:tcPr>
          <w:p w14:paraId="416EF67E" w14:textId="77777777" w:rsidR="002B47B3" w:rsidRDefault="00000000">
            <w:pPr>
              <w:wordWrap w:val="0"/>
              <w:spacing w:after="0"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黑体" w:eastAsia="黑体" w:hAnsi="黑体" w:cs="黑体"/>
                <w:color w:val="000000"/>
                <w:sz w:val="19"/>
              </w:rPr>
              <w:t>政府牵头部门</w:t>
            </w:r>
          </w:p>
        </w:tc>
        <w:tc>
          <w:tcPr>
            <w:tcW w:w="2380" w:type="dxa"/>
            <w:vAlign w:val="center"/>
          </w:tcPr>
          <w:p w14:paraId="58F314BE" w14:textId="77777777" w:rsidR="002B47B3" w:rsidRDefault="00000000">
            <w:pPr>
              <w:wordWrap w:val="0"/>
              <w:spacing w:after="0"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黑体" w:eastAsia="黑体" w:hAnsi="黑体" w:cs="黑体"/>
                <w:color w:val="000000"/>
                <w:sz w:val="19"/>
              </w:rPr>
              <w:t>治理效果</w:t>
            </w:r>
          </w:p>
        </w:tc>
        <w:tc>
          <w:tcPr>
            <w:tcW w:w="2300" w:type="dxa"/>
            <w:vAlign w:val="center"/>
          </w:tcPr>
          <w:p w14:paraId="006F961E" w14:textId="77777777" w:rsidR="002B47B3" w:rsidRDefault="00000000">
            <w:pPr>
              <w:wordWrap w:val="0"/>
              <w:spacing w:after="0"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黑体" w:eastAsia="黑体" w:hAnsi="黑体" w:cs="黑体"/>
                <w:color w:val="000000"/>
                <w:sz w:val="19"/>
              </w:rPr>
              <w:t>效果监测</w:t>
            </w:r>
          </w:p>
        </w:tc>
      </w:tr>
      <w:tr w:rsidR="002B47B3" w14:paraId="2DA9B6C3" w14:textId="77777777">
        <w:trPr>
          <w:trHeight w:val="720"/>
        </w:trPr>
        <w:tc>
          <w:tcPr>
            <w:tcW w:w="2120" w:type="dxa"/>
            <w:vAlign w:val="center"/>
          </w:tcPr>
          <w:p w14:paraId="20F6067D" w14:textId="77777777" w:rsidR="002B47B3" w:rsidRDefault="00000000">
            <w:pPr>
              <w:wordWrap w:val="0"/>
              <w:spacing w:after="0"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黑体" w:eastAsia="黑体" w:hAnsi="黑体" w:cs="黑体"/>
                <w:color w:val="000000"/>
                <w:sz w:val="19"/>
              </w:rPr>
              <w:t>治水人人参与</w:t>
            </w:r>
          </w:p>
        </w:tc>
        <w:tc>
          <w:tcPr>
            <w:tcW w:w="1140" w:type="dxa"/>
            <w:vAlign w:val="center"/>
          </w:tcPr>
          <w:p w14:paraId="1963BF5B" w14:textId="77777777" w:rsidR="002B47B3" w:rsidRDefault="00000000">
            <w:pPr>
              <w:wordWrap w:val="0"/>
              <w:spacing w:after="0"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黑体" w:eastAsia="黑体" w:hAnsi="黑体" w:cs="黑体"/>
                <w:color w:val="000000"/>
                <w:sz w:val="19"/>
              </w:rPr>
              <w:t>城建委</w:t>
            </w:r>
          </w:p>
        </w:tc>
        <w:tc>
          <w:tcPr>
            <w:tcW w:w="1140" w:type="dxa"/>
            <w:vAlign w:val="center"/>
          </w:tcPr>
          <w:p w14:paraId="22B0C6A6" w14:textId="77777777" w:rsidR="002B47B3" w:rsidRDefault="00000000">
            <w:pPr>
              <w:wordWrap w:val="0"/>
              <w:spacing w:after="0"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黑体" w:eastAsia="黑体" w:hAnsi="黑体" w:cs="黑体"/>
                <w:color w:val="000000"/>
                <w:sz w:val="19"/>
              </w:rPr>
              <w:t>市水</w:t>
            </w:r>
            <w:proofErr w:type="gramStart"/>
            <w:r>
              <w:rPr>
                <w:rFonts w:ascii="黑体" w:eastAsia="黑体" w:hAnsi="黑体" w:cs="黑体"/>
                <w:color w:val="000000"/>
                <w:sz w:val="19"/>
              </w:rPr>
              <w:t>务</w:t>
            </w:r>
            <w:proofErr w:type="gramEnd"/>
            <w:r>
              <w:rPr>
                <w:rFonts w:ascii="黑体" w:eastAsia="黑体" w:hAnsi="黑体" w:cs="黑体"/>
                <w:color w:val="000000"/>
                <w:sz w:val="19"/>
              </w:rPr>
              <w:t>局</w:t>
            </w:r>
          </w:p>
        </w:tc>
        <w:tc>
          <w:tcPr>
            <w:tcW w:w="2380" w:type="dxa"/>
            <w:vAlign w:val="center"/>
          </w:tcPr>
          <w:p w14:paraId="72C197CE" w14:textId="77777777" w:rsidR="002B47B3" w:rsidRDefault="00000000">
            <w:pPr>
              <w:wordWrap w:val="0"/>
              <w:spacing w:after="0" w:line="240" w:lineRule="atLeast"/>
              <w:ind w:firstLine="140"/>
              <w:jc w:val="both"/>
              <w:textAlignment w:val="baseline"/>
              <w:rPr>
                <w:rFonts w:hint="eastAsia"/>
                <w:sz w:val="19"/>
              </w:rPr>
            </w:pPr>
            <w:r>
              <w:rPr>
                <w:rFonts w:ascii="黑体" w:eastAsia="黑体" w:hAnsi="黑体" w:cs="黑体"/>
                <w:color w:val="000000"/>
                <w:sz w:val="19"/>
              </w:rPr>
              <w:t>助推G市率先在全省全面推行河长制、湖长制、</w:t>
            </w:r>
            <w:proofErr w:type="gramStart"/>
            <w:r>
              <w:rPr>
                <w:rFonts w:ascii="黑体" w:eastAsia="黑体" w:hAnsi="黑体" w:cs="黑体"/>
                <w:color w:val="000000"/>
                <w:sz w:val="19"/>
              </w:rPr>
              <w:t>流域河</w:t>
            </w:r>
            <w:proofErr w:type="gramEnd"/>
            <w:r>
              <w:rPr>
                <w:rFonts w:ascii="黑体" w:eastAsia="黑体" w:hAnsi="黑体" w:cs="黑体"/>
                <w:color w:val="000000"/>
                <w:sz w:val="19"/>
              </w:rPr>
              <w:t>长制，促进了</w:t>
            </w:r>
            <w:proofErr w:type="gramStart"/>
            <w:r>
              <w:rPr>
                <w:rFonts w:ascii="黑体" w:eastAsia="黑体" w:hAnsi="黑体" w:cs="黑体"/>
                <w:color w:val="000000"/>
                <w:sz w:val="19"/>
              </w:rPr>
              <w:t>数十条河涵水质</w:t>
            </w:r>
            <w:proofErr w:type="gramEnd"/>
            <w:r>
              <w:rPr>
                <w:rFonts w:ascii="黑体" w:eastAsia="黑体" w:hAnsi="黑体" w:cs="黑体"/>
                <w:color w:val="000000"/>
                <w:sz w:val="19"/>
              </w:rPr>
              <w:t>达标</w:t>
            </w:r>
          </w:p>
        </w:tc>
        <w:tc>
          <w:tcPr>
            <w:tcW w:w="2300" w:type="dxa"/>
            <w:vMerge w:val="restart"/>
            <w:vAlign w:val="center"/>
          </w:tcPr>
          <w:p w14:paraId="07E9C14F" w14:textId="77777777" w:rsidR="002B47B3" w:rsidRDefault="00000000">
            <w:pPr>
              <w:wordWrap w:val="0"/>
              <w:spacing w:after="0" w:line="240" w:lineRule="atLeast"/>
              <w:ind w:firstLine="40"/>
              <w:jc w:val="both"/>
              <w:textAlignment w:val="baseline"/>
              <w:rPr>
                <w:rFonts w:hint="eastAsia"/>
                <w:sz w:val="19"/>
              </w:rPr>
            </w:pPr>
            <w:r>
              <w:rPr>
                <w:rFonts w:ascii="黑体" w:eastAsia="黑体" w:hAnsi="黑体" w:cs="黑体"/>
                <w:color w:val="000000"/>
                <w:sz w:val="19"/>
              </w:rPr>
              <w:t>"软监督"：通过打电话等方式向相关，职能部门询问承诺的进展情况，督促相关职能部门履行承诺。</w:t>
            </w:r>
          </w:p>
        </w:tc>
      </w:tr>
      <w:tr w:rsidR="002B47B3" w14:paraId="30760BC5" w14:textId="77777777">
        <w:trPr>
          <w:trHeight w:val="980"/>
        </w:trPr>
        <w:tc>
          <w:tcPr>
            <w:tcW w:w="2120" w:type="dxa"/>
            <w:vAlign w:val="center"/>
          </w:tcPr>
          <w:p w14:paraId="62D5201E" w14:textId="77777777" w:rsidR="002B47B3" w:rsidRDefault="00000000">
            <w:pPr>
              <w:wordWrap w:val="0"/>
              <w:spacing w:after="0"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黑体" w:eastAsia="黑体" w:hAnsi="黑体" w:cs="黑体"/>
                <w:color w:val="000000"/>
                <w:sz w:val="19"/>
              </w:rPr>
              <w:t>青少年近视防控工作</w:t>
            </w:r>
          </w:p>
        </w:tc>
        <w:tc>
          <w:tcPr>
            <w:tcW w:w="1140" w:type="dxa"/>
            <w:vAlign w:val="center"/>
          </w:tcPr>
          <w:p w14:paraId="253E1177" w14:textId="77777777" w:rsidR="002B47B3" w:rsidRDefault="00000000">
            <w:pPr>
              <w:wordWrap w:val="0"/>
              <w:spacing w:after="0"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黑体" w:eastAsia="黑体" w:hAnsi="黑体" w:cs="黑体"/>
                <w:color w:val="000000"/>
                <w:sz w:val="19"/>
              </w:rPr>
              <w:t>学文委</w:t>
            </w:r>
          </w:p>
        </w:tc>
        <w:tc>
          <w:tcPr>
            <w:tcW w:w="1140" w:type="dxa"/>
            <w:vAlign w:val="center"/>
          </w:tcPr>
          <w:p w14:paraId="5930D1A7" w14:textId="77777777" w:rsidR="002B47B3" w:rsidRDefault="00000000">
            <w:pPr>
              <w:wordWrap w:val="0"/>
              <w:spacing w:after="0"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黑体" w:eastAsia="黑体" w:hAnsi="黑体" w:cs="黑体"/>
                <w:color w:val="000000"/>
                <w:sz w:val="19"/>
              </w:rPr>
              <w:t>市教育局</w:t>
            </w:r>
          </w:p>
        </w:tc>
        <w:tc>
          <w:tcPr>
            <w:tcW w:w="2380" w:type="dxa"/>
            <w:vAlign w:val="center"/>
          </w:tcPr>
          <w:p w14:paraId="40E7E230" w14:textId="77777777" w:rsidR="002B47B3" w:rsidRDefault="00000000">
            <w:pPr>
              <w:wordWrap w:val="0"/>
              <w:spacing w:after="0" w:line="240" w:lineRule="atLeast"/>
              <w:ind w:firstLine="40"/>
              <w:jc w:val="both"/>
              <w:textAlignment w:val="baseline"/>
              <w:rPr>
                <w:rFonts w:hint="eastAsia"/>
                <w:sz w:val="19"/>
              </w:rPr>
            </w:pPr>
            <w:r>
              <w:rPr>
                <w:rFonts w:ascii="黑体" w:eastAsia="黑体" w:hAnsi="黑体" w:cs="黑体"/>
                <w:color w:val="000000"/>
                <w:sz w:val="19"/>
              </w:rPr>
              <w:t>完成1200多名中小学校校医及健康老师的近视 防控培训</w:t>
            </w:r>
          </w:p>
        </w:tc>
        <w:tc>
          <w:tcPr>
            <w:tcW w:w="2300" w:type="dxa"/>
            <w:vMerge/>
          </w:tcPr>
          <w:p w14:paraId="1ADD2235" w14:textId="77777777" w:rsidR="002B47B3" w:rsidRDefault="002B47B3">
            <w:pPr>
              <w:rPr>
                <w:rFonts w:hint="eastAsia"/>
              </w:rPr>
            </w:pPr>
          </w:p>
        </w:tc>
      </w:tr>
    </w:tbl>
    <w:p w14:paraId="3BAE471A" w14:textId="77777777" w:rsidR="002B47B3" w:rsidRDefault="002B47B3">
      <w:pPr>
        <w:wordWrap w:val="0"/>
        <w:spacing w:after="0" w:line="200" w:lineRule="exact"/>
        <w:textAlignment w:val="baseline"/>
        <w:rPr>
          <w:rFonts w:hint="eastAsia"/>
          <w:sz w:val="25"/>
        </w:rPr>
      </w:pPr>
    </w:p>
    <w:p w14:paraId="27EA95AD" w14:textId="77777777" w:rsidR="002B47B3" w:rsidRDefault="00000000">
      <w:pPr>
        <w:wordWrap w:val="0"/>
        <w:spacing w:after="0" w:line="340" w:lineRule="atLeast"/>
        <w:ind w:left="280" w:right="20"/>
        <w:jc w:val="both"/>
        <w:textAlignment w:val="baseline"/>
        <w:rPr>
          <w:rFonts w:hint="eastAsia"/>
          <w:sz w:val="24"/>
        </w:rPr>
      </w:pPr>
      <w:r>
        <w:rPr>
          <w:rFonts w:ascii="黑体" w:eastAsia="黑体" w:hAnsi="黑体" w:cs="黑体"/>
          <w:color w:val="000000"/>
          <w:sz w:val="24"/>
        </w:rPr>
        <w:t xml:space="preserve">结合材料，运用《政治与法治》知识，分析说明人民政协“有事好商量”协商平台对提 </w:t>
      </w:r>
      <w:proofErr w:type="gramStart"/>
      <w:r>
        <w:rPr>
          <w:rFonts w:ascii="黑体" w:eastAsia="黑体" w:hAnsi="黑体" w:cs="黑体"/>
          <w:color w:val="000000"/>
          <w:sz w:val="24"/>
        </w:rPr>
        <w:t>升社会</w:t>
      </w:r>
      <w:proofErr w:type="gramEnd"/>
      <w:r>
        <w:rPr>
          <w:rFonts w:ascii="黑体" w:eastAsia="黑体" w:hAnsi="黑体" w:cs="黑体"/>
          <w:color w:val="000000"/>
          <w:sz w:val="24"/>
        </w:rPr>
        <w:t>治理效能的作用。(10分)</w:t>
      </w:r>
    </w:p>
    <w:p w14:paraId="6D7CD088" w14:textId="77777777" w:rsidR="002B47B3" w:rsidRDefault="002B47B3">
      <w:pPr>
        <w:wordWrap w:val="0"/>
        <w:spacing w:after="0" w:line="200" w:lineRule="exact"/>
        <w:jc w:val="both"/>
        <w:textAlignment w:val="baseline"/>
        <w:rPr>
          <w:rFonts w:hint="eastAsia"/>
          <w:sz w:val="24"/>
        </w:rPr>
      </w:pPr>
    </w:p>
    <w:p w14:paraId="6858E492" w14:textId="77777777" w:rsidR="002B47B3" w:rsidRDefault="002B47B3">
      <w:pPr>
        <w:wordWrap w:val="0"/>
        <w:spacing w:after="0" w:line="200" w:lineRule="exact"/>
        <w:jc w:val="both"/>
        <w:textAlignment w:val="baseline"/>
        <w:rPr>
          <w:rFonts w:hint="eastAsia"/>
          <w:sz w:val="24"/>
        </w:rPr>
      </w:pPr>
    </w:p>
    <w:p w14:paraId="354595EC" w14:textId="77777777" w:rsidR="002B47B3" w:rsidRDefault="002B47B3">
      <w:pPr>
        <w:wordWrap w:val="0"/>
        <w:spacing w:after="0" w:line="200" w:lineRule="exact"/>
        <w:jc w:val="both"/>
        <w:textAlignment w:val="baseline"/>
        <w:rPr>
          <w:rFonts w:hint="eastAsia"/>
          <w:sz w:val="24"/>
        </w:rPr>
      </w:pPr>
    </w:p>
    <w:p w14:paraId="49955341" w14:textId="77777777" w:rsidR="002B47B3" w:rsidRDefault="00000000">
      <w:pPr>
        <w:wordWrap w:val="0"/>
        <w:spacing w:after="0" w:line="240" w:lineRule="atLeast"/>
        <w:jc w:val="center"/>
        <w:textAlignment w:val="baseline"/>
        <w:rPr>
          <w:rFonts w:hint="eastAsia"/>
          <w:sz w:val="17"/>
        </w:rPr>
        <w:sectPr w:rsidR="002B47B3">
          <w:pgSz w:w="11900" w:h="16820"/>
          <w:pgMar w:top="1240" w:right="1060" w:bottom="1240" w:left="1060" w:header="720" w:footer="720" w:gutter="0"/>
          <w:cols w:space="720"/>
        </w:sectPr>
      </w:pPr>
      <w:r>
        <w:rPr>
          <w:rFonts w:ascii="黑体" w:eastAsia="黑体" w:hAnsi="黑体" w:cs="黑体"/>
          <w:color w:val="000000"/>
          <w:sz w:val="17"/>
        </w:rPr>
        <w:t>第 5 页 共 6 页</w:t>
      </w:r>
    </w:p>
    <w:p w14:paraId="00A7BA43" w14:textId="77777777" w:rsidR="002B47B3" w:rsidRDefault="00000000">
      <w:pPr>
        <w:wordWrap w:val="0"/>
        <w:spacing w:before="540" w:after="0" w:line="320" w:lineRule="atLeast"/>
        <w:ind w:firstLine="300"/>
        <w:jc w:val="both"/>
        <w:textAlignment w:val="baseline"/>
        <w:rPr>
          <w:rFonts w:hint="eastAsia"/>
          <w:sz w:val="20"/>
        </w:rPr>
      </w:pPr>
      <w:r>
        <w:rPr>
          <w:rFonts w:ascii="黑体" w:eastAsia="黑体" w:hAnsi="黑体" w:cs="黑体"/>
          <w:color w:val="000000"/>
          <w:sz w:val="20"/>
        </w:rPr>
        <w:lastRenderedPageBreak/>
        <w:t>19.阅读材料，完成下列要求。(10分)</w:t>
      </w:r>
    </w:p>
    <w:p w14:paraId="3DA1410E" w14:textId="77777777" w:rsidR="002B47B3" w:rsidRDefault="00000000">
      <w:pPr>
        <w:wordWrap w:val="0"/>
        <w:spacing w:after="0" w:line="320" w:lineRule="atLeast"/>
        <w:ind w:right="300" w:firstLine="660"/>
        <w:jc w:val="both"/>
        <w:textAlignment w:val="baseline"/>
        <w:rPr>
          <w:rFonts w:hint="eastAsia"/>
          <w:sz w:val="20"/>
        </w:rPr>
      </w:pPr>
      <w:r>
        <w:rPr>
          <w:rFonts w:ascii="黑体" w:eastAsia="黑体" w:hAnsi="黑体" w:cs="黑体"/>
          <w:color w:val="000000"/>
          <w:sz w:val="20"/>
        </w:rPr>
        <w:t xml:space="preserve">浙江李女士在购置了三个停车位后，将女儿的玩具车停放于其中，却遭到了小区居民的 投诉，他们认为李女士的行为是对公共资源的滥用。物业与李女士沟通，请求她移走玩具车，  恢复车位的正常使用。然而李女士却坚持认为，既然她购买了车位，就有权利自主决定车位 的用途，拒绝物业的要求。在双方僵持不下时，物业的安保人员擅自破坏了停放在停车位上 的玩具车，该女士发现后，要求物业赔偿损失但遭到拒绝。物业认为他们只是在维护小区的 秩序，在这个过程中不可避免地造成了损失，但这并不是李女士可以索赔的理由。李女士最 </w:t>
      </w:r>
      <w:proofErr w:type="gramStart"/>
      <w:r>
        <w:rPr>
          <w:rFonts w:ascii="黑体" w:eastAsia="黑体" w:hAnsi="黑体" w:cs="黑体"/>
          <w:color w:val="000000"/>
          <w:sz w:val="20"/>
        </w:rPr>
        <w:t>终决定</w:t>
      </w:r>
      <w:proofErr w:type="gramEnd"/>
      <w:r>
        <w:rPr>
          <w:rFonts w:ascii="黑体" w:eastAsia="黑体" w:hAnsi="黑体" w:cs="黑体"/>
          <w:color w:val="000000"/>
          <w:sz w:val="20"/>
        </w:rPr>
        <w:t>将物业告上法庭。</w:t>
      </w:r>
    </w:p>
    <w:p w14:paraId="6E499013" w14:textId="77777777" w:rsidR="002B47B3" w:rsidRDefault="00000000">
      <w:pPr>
        <w:wordWrap w:val="0"/>
        <w:spacing w:after="0" w:line="320" w:lineRule="atLeast"/>
        <w:ind w:firstLine="300"/>
        <w:jc w:val="both"/>
        <w:textAlignment w:val="baseline"/>
        <w:rPr>
          <w:rFonts w:hint="eastAsia"/>
          <w:sz w:val="20"/>
        </w:rPr>
      </w:pPr>
      <w:r>
        <w:rPr>
          <w:rFonts w:ascii="黑体" w:eastAsia="黑体" w:hAnsi="黑体" w:cs="黑体"/>
          <w:color w:val="000000"/>
          <w:sz w:val="20"/>
        </w:rPr>
        <w:t>运用《法律与生活》知识，判断本案例中物业是否需要进行赔偿并说明理由。(10分)</w:t>
      </w:r>
    </w:p>
    <w:p w14:paraId="172913FA" w14:textId="77777777" w:rsidR="002B47B3" w:rsidRDefault="002B47B3">
      <w:pPr>
        <w:wordWrap w:val="0"/>
        <w:spacing w:after="0" w:line="320" w:lineRule="exact"/>
        <w:jc w:val="both"/>
        <w:textAlignment w:val="baseline"/>
        <w:rPr>
          <w:rFonts w:hint="eastAsia"/>
          <w:sz w:val="20"/>
        </w:rPr>
      </w:pPr>
    </w:p>
    <w:p w14:paraId="1DF02707" w14:textId="77777777" w:rsidR="002B47B3" w:rsidRDefault="002B47B3">
      <w:pPr>
        <w:wordWrap w:val="0"/>
        <w:spacing w:after="0" w:line="320" w:lineRule="exact"/>
        <w:jc w:val="both"/>
        <w:textAlignment w:val="baseline"/>
        <w:rPr>
          <w:rFonts w:hint="eastAsia"/>
          <w:sz w:val="20"/>
        </w:rPr>
      </w:pPr>
    </w:p>
    <w:p w14:paraId="2115FCC7" w14:textId="77777777" w:rsidR="002B47B3" w:rsidRDefault="002B47B3">
      <w:pPr>
        <w:wordWrap w:val="0"/>
        <w:spacing w:after="0" w:line="320" w:lineRule="exact"/>
        <w:jc w:val="both"/>
        <w:textAlignment w:val="baseline"/>
        <w:rPr>
          <w:rFonts w:hint="eastAsia"/>
          <w:sz w:val="20"/>
        </w:rPr>
      </w:pPr>
    </w:p>
    <w:p w14:paraId="638F31D6" w14:textId="77777777" w:rsidR="002B47B3" w:rsidRDefault="00000000">
      <w:pPr>
        <w:wordWrap w:val="0"/>
        <w:spacing w:after="0" w:line="320" w:lineRule="atLeast"/>
        <w:ind w:firstLine="300"/>
        <w:jc w:val="both"/>
        <w:textAlignment w:val="baseline"/>
        <w:rPr>
          <w:rFonts w:hint="eastAsia"/>
          <w:sz w:val="20"/>
        </w:rPr>
      </w:pPr>
      <w:r>
        <w:rPr>
          <w:rFonts w:ascii="黑体" w:eastAsia="黑体" w:hAnsi="黑体" w:cs="黑体"/>
          <w:color w:val="000000"/>
          <w:sz w:val="20"/>
        </w:rPr>
        <w:t>20.阅读材料，完成下列要求。(12分)</w:t>
      </w:r>
    </w:p>
    <w:p w14:paraId="0777CCE4" w14:textId="77777777" w:rsidR="002B47B3" w:rsidRDefault="00000000">
      <w:pPr>
        <w:wordWrap w:val="0"/>
        <w:spacing w:after="0" w:line="320" w:lineRule="atLeast"/>
        <w:ind w:right="300" w:firstLine="660"/>
        <w:jc w:val="both"/>
        <w:textAlignment w:val="baseline"/>
        <w:rPr>
          <w:rFonts w:hint="eastAsia"/>
          <w:sz w:val="20"/>
        </w:rPr>
      </w:pPr>
      <w:r>
        <w:rPr>
          <w:rFonts w:ascii="黑体" w:eastAsia="黑体" w:hAnsi="黑体" w:cs="黑体"/>
          <w:color w:val="000000"/>
          <w:sz w:val="20"/>
        </w:rPr>
        <w:t>四川是我国发展的战略腹地，2024年四川省委团结带领全省人民坚决扛起经济大省挑 大梁重任，以四川发展之</w:t>
      </w:r>
      <w:proofErr w:type="gramStart"/>
      <w:r>
        <w:rPr>
          <w:rFonts w:ascii="黑体" w:eastAsia="黑体" w:hAnsi="黑体" w:cs="黑体"/>
          <w:color w:val="000000"/>
          <w:sz w:val="20"/>
        </w:rPr>
        <w:t>进更好</w:t>
      </w:r>
      <w:proofErr w:type="gramEnd"/>
      <w:r>
        <w:rPr>
          <w:rFonts w:ascii="黑体" w:eastAsia="黑体" w:hAnsi="黑体" w:cs="黑体"/>
          <w:color w:val="000000"/>
          <w:sz w:val="20"/>
        </w:rPr>
        <w:t>服务全国发展大局。</w:t>
      </w:r>
    </w:p>
    <w:p w14:paraId="19FBFAC2" w14:textId="77777777" w:rsidR="002B47B3" w:rsidRDefault="00000000">
      <w:pPr>
        <w:wordWrap w:val="0"/>
        <w:spacing w:after="0" w:line="320" w:lineRule="atLeast"/>
        <w:ind w:right="240" w:firstLine="660"/>
        <w:jc w:val="both"/>
        <w:textAlignment w:val="baseline"/>
        <w:rPr>
          <w:rFonts w:hint="eastAsia"/>
          <w:sz w:val="20"/>
        </w:rPr>
      </w:pPr>
      <w:r>
        <w:rPr>
          <w:rFonts w:ascii="黑体" w:eastAsia="黑体" w:hAnsi="黑体" w:cs="黑体"/>
          <w:color w:val="000000"/>
          <w:sz w:val="20"/>
        </w:rPr>
        <w:t>着力打造西部地区创新高地。聚焦最有基础、最有优势、最需突破领域，启动成渝(兴  隆湖)综合性科学中心，支持绵阳科技城建</w:t>
      </w:r>
      <w:proofErr w:type="gramStart"/>
      <w:r>
        <w:rPr>
          <w:rFonts w:ascii="黑体" w:eastAsia="黑体" w:hAnsi="黑体" w:cs="黑体"/>
          <w:color w:val="000000"/>
          <w:sz w:val="20"/>
        </w:rPr>
        <w:t>设科技</w:t>
      </w:r>
      <w:proofErr w:type="gramEnd"/>
      <w:r>
        <w:rPr>
          <w:rFonts w:ascii="黑体" w:eastAsia="黑体" w:hAnsi="黑体" w:cs="黑体"/>
          <w:color w:val="000000"/>
          <w:sz w:val="20"/>
        </w:rPr>
        <w:t>创新先行区，有序推进全国重点实验室优 化重组以及省级重点实验室建设，在</w:t>
      </w:r>
      <w:proofErr w:type="gramStart"/>
      <w:r>
        <w:rPr>
          <w:rFonts w:ascii="黑体" w:eastAsia="黑体" w:hAnsi="黑体" w:cs="黑体"/>
          <w:color w:val="000000"/>
          <w:sz w:val="20"/>
        </w:rPr>
        <w:t>一</w:t>
      </w:r>
      <w:proofErr w:type="gramEnd"/>
      <w:r>
        <w:rPr>
          <w:rFonts w:ascii="黑体" w:eastAsia="黑体" w:hAnsi="黑体" w:cs="黑体"/>
          <w:color w:val="000000"/>
          <w:sz w:val="20"/>
        </w:rPr>
        <w:t>定时限内攻关一批“卡脖子”“掉链子”的关键核心 技术。印发《关于全面深化职务科技成果权属制度改革的实施方案》，启动建设“1+N” 中试 研发平台体系，实施创新型企业培育强领军、强主干、强基础“三强计划”，全省国家高新 技术企业达到1.7万家、同比增长16.1%；科技型中小企业达到2.1万家、同比增长12.4%。</w:t>
      </w:r>
    </w:p>
    <w:p w14:paraId="72CF933B" w14:textId="77777777" w:rsidR="002B47B3" w:rsidRDefault="00000000">
      <w:pPr>
        <w:wordWrap w:val="0"/>
        <w:spacing w:after="0" w:line="320" w:lineRule="atLeast"/>
        <w:ind w:right="260" w:firstLine="660"/>
        <w:jc w:val="both"/>
        <w:textAlignment w:val="baseline"/>
        <w:rPr>
          <w:rFonts w:hint="eastAsia"/>
          <w:sz w:val="20"/>
        </w:rPr>
      </w:pPr>
      <w:r>
        <w:rPr>
          <w:rFonts w:ascii="黑体" w:eastAsia="黑体" w:hAnsi="黑体" w:cs="黑体"/>
          <w:color w:val="000000"/>
          <w:sz w:val="20"/>
        </w:rPr>
        <w:t>以促进消费为抓手扩大内需。精准对接国家促消费一揽子政策和提</w:t>
      </w:r>
      <w:proofErr w:type="gramStart"/>
      <w:r>
        <w:rPr>
          <w:rFonts w:ascii="黑体" w:eastAsia="黑体" w:hAnsi="黑体" w:cs="黑体"/>
          <w:color w:val="000000"/>
          <w:sz w:val="20"/>
        </w:rPr>
        <w:t>振消费</w:t>
      </w:r>
      <w:proofErr w:type="gramEnd"/>
      <w:r>
        <w:rPr>
          <w:rFonts w:ascii="黑体" w:eastAsia="黑体" w:hAnsi="黑体" w:cs="黑体"/>
          <w:color w:val="000000"/>
          <w:sz w:val="20"/>
        </w:rPr>
        <w:t>专项行动，在全国率先出台6条措施提升外籍人士在川消费支付的便利度。四川素有“天府之国”的美誉，  盐业文化，酒文化源远流长；三国文化，红军文化，巴人文化精彩纷呈；拥有世界自然遗产 3处(九寨沟、黄龙、大熊猫栖息地)，世界文化遗产1处(青城山——都江堰)，世界文化 和自然遗产1处(峨眉山——乐山大佛)。</w:t>
      </w:r>
    </w:p>
    <w:p w14:paraId="20502576" w14:textId="77777777" w:rsidR="002B47B3" w:rsidRDefault="00000000">
      <w:pPr>
        <w:wordWrap w:val="0"/>
        <w:spacing w:after="0" w:line="320" w:lineRule="atLeast"/>
        <w:ind w:left="600" w:right="400" w:hanging="300"/>
        <w:jc w:val="both"/>
        <w:textAlignment w:val="baseline"/>
        <w:rPr>
          <w:rFonts w:hint="eastAsia"/>
          <w:sz w:val="20"/>
        </w:rPr>
      </w:pPr>
      <w:r>
        <w:rPr>
          <w:rFonts w:ascii="黑体" w:eastAsia="黑体" w:hAnsi="黑体" w:cs="黑体"/>
          <w:color w:val="000000"/>
          <w:sz w:val="20"/>
        </w:rPr>
        <w:t>(1)结合材料，运用《经济与社会》知识，说明四川是如何将有效市场和有为政府相结合打 造西部地区创新高地的。(6分)</w:t>
      </w:r>
    </w:p>
    <w:p w14:paraId="3DB9F06A" w14:textId="77777777" w:rsidR="002B47B3" w:rsidRDefault="002B47B3">
      <w:pPr>
        <w:wordWrap w:val="0"/>
        <w:spacing w:after="0" w:line="320" w:lineRule="exact"/>
        <w:jc w:val="both"/>
        <w:textAlignment w:val="baseline"/>
        <w:rPr>
          <w:rFonts w:hint="eastAsia"/>
          <w:sz w:val="20"/>
        </w:rPr>
      </w:pPr>
    </w:p>
    <w:p w14:paraId="2148F677" w14:textId="77777777" w:rsidR="002B47B3" w:rsidRDefault="002B47B3">
      <w:pPr>
        <w:wordWrap w:val="0"/>
        <w:spacing w:after="0" w:line="320" w:lineRule="exact"/>
        <w:jc w:val="both"/>
        <w:textAlignment w:val="baseline"/>
        <w:rPr>
          <w:rFonts w:hint="eastAsia"/>
          <w:sz w:val="20"/>
        </w:rPr>
      </w:pPr>
    </w:p>
    <w:p w14:paraId="0723F28C" w14:textId="77777777" w:rsidR="002B47B3" w:rsidRDefault="00000000">
      <w:pPr>
        <w:wordWrap w:val="0"/>
        <w:spacing w:after="0" w:line="320" w:lineRule="atLeast"/>
        <w:ind w:left="300"/>
        <w:jc w:val="both"/>
        <w:textAlignment w:val="baseline"/>
        <w:rPr>
          <w:rFonts w:hint="eastAsia"/>
          <w:sz w:val="20"/>
        </w:rPr>
      </w:pPr>
      <w:r>
        <w:rPr>
          <w:rFonts w:ascii="黑体" w:eastAsia="黑体" w:hAnsi="黑体" w:cs="黑体"/>
          <w:color w:val="000000"/>
          <w:sz w:val="20"/>
        </w:rPr>
        <w:t>(2)结合材料，请你在“观文化遗产”“看国宝”“品美食”三个主题中任选一个，根据所选主题，为入境</w:t>
      </w:r>
      <w:proofErr w:type="gramStart"/>
      <w:r>
        <w:rPr>
          <w:rFonts w:ascii="黑体" w:eastAsia="黑体" w:hAnsi="黑体" w:cs="黑体"/>
          <w:color w:val="000000"/>
          <w:sz w:val="20"/>
        </w:rPr>
        <w:t>游外国</w:t>
      </w:r>
      <w:proofErr w:type="gramEnd"/>
      <w:r>
        <w:rPr>
          <w:rFonts w:ascii="黑体" w:eastAsia="黑体" w:hAnsi="黑体" w:cs="黑体"/>
          <w:color w:val="000000"/>
          <w:sz w:val="20"/>
        </w:rPr>
        <w:t>友人策划一个“冬游四川”的精品路线。要求：规划具体路线并阐明推荐理由，字数控制在200字以内。(6分)</w:t>
      </w:r>
    </w:p>
    <w:p w14:paraId="091CAAFF" w14:textId="77777777" w:rsidR="002B47B3" w:rsidRDefault="002B47B3">
      <w:pPr>
        <w:wordWrap w:val="0"/>
        <w:spacing w:after="0" w:line="320" w:lineRule="exact"/>
        <w:jc w:val="both"/>
        <w:textAlignment w:val="baseline"/>
        <w:rPr>
          <w:rFonts w:hint="eastAsia"/>
          <w:sz w:val="20"/>
        </w:rPr>
      </w:pPr>
    </w:p>
    <w:p w14:paraId="2BD8ACB7" w14:textId="77777777" w:rsidR="002B47B3" w:rsidRDefault="002B47B3">
      <w:pPr>
        <w:wordWrap w:val="0"/>
        <w:spacing w:after="0" w:line="320" w:lineRule="exact"/>
        <w:jc w:val="both"/>
        <w:textAlignment w:val="baseline"/>
        <w:rPr>
          <w:rFonts w:hint="eastAsia"/>
          <w:sz w:val="20"/>
        </w:rPr>
      </w:pPr>
    </w:p>
    <w:p w14:paraId="3266A52C" w14:textId="77777777" w:rsidR="002B47B3" w:rsidRDefault="002B47B3">
      <w:pPr>
        <w:wordWrap w:val="0"/>
        <w:spacing w:after="0" w:line="320" w:lineRule="exact"/>
        <w:jc w:val="both"/>
        <w:textAlignment w:val="baseline"/>
        <w:rPr>
          <w:rFonts w:hint="eastAsia"/>
          <w:sz w:val="20"/>
        </w:rPr>
      </w:pPr>
    </w:p>
    <w:p w14:paraId="26DB67C5" w14:textId="77777777" w:rsidR="002B47B3" w:rsidRDefault="002B47B3">
      <w:pPr>
        <w:wordWrap w:val="0"/>
        <w:spacing w:after="0" w:line="320" w:lineRule="exact"/>
        <w:jc w:val="both"/>
        <w:textAlignment w:val="baseline"/>
        <w:rPr>
          <w:rFonts w:hint="eastAsia"/>
          <w:sz w:val="20"/>
        </w:rPr>
      </w:pPr>
    </w:p>
    <w:p w14:paraId="4A28C1CA" w14:textId="77777777" w:rsidR="002B47B3" w:rsidRDefault="002B47B3">
      <w:pPr>
        <w:wordWrap w:val="0"/>
        <w:spacing w:after="0" w:line="320" w:lineRule="exact"/>
        <w:jc w:val="both"/>
        <w:textAlignment w:val="baseline"/>
        <w:rPr>
          <w:rFonts w:hint="eastAsia"/>
          <w:sz w:val="20"/>
        </w:rPr>
      </w:pPr>
    </w:p>
    <w:p w14:paraId="189F3854" w14:textId="77777777" w:rsidR="002B47B3" w:rsidRDefault="00000000">
      <w:pPr>
        <w:wordWrap w:val="0"/>
        <w:spacing w:after="0" w:line="240" w:lineRule="atLeast"/>
        <w:jc w:val="center"/>
        <w:textAlignment w:val="baseline"/>
        <w:rPr>
          <w:rFonts w:hint="eastAsia"/>
          <w:sz w:val="17"/>
        </w:rPr>
      </w:pPr>
      <w:r>
        <w:rPr>
          <w:rFonts w:ascii="黑体" w:eastAsia="黑体" w:hAnsi="黑体" w:cs="黑体"/>
          <w:color w:val="000000"/>
          <w:sz w:val="17"/>
        </w:rPr>
        <w:t>第 6 页 共 6 页</w:t>
      </w:r>
    </w:p>
    <w:sectPr w:rsidR="002B47B3">
      <w:pgSz w:w="11900" w:h="16820"/>
      <w:pgMar w:top="1420" w:right="1780" w:bottom="1420" w:left="1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proofState w:spelling="clean" w:grammar="clean"/>
  <w:defaultTabStop w:val="420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7B3"/>
    <w:rsid w:val="002B47B3"/>
    <w:rsid w:val="00AC3B1E"/>
    <w:rsid w:val="00DB3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0A62B"/>
  <w15:docId w15:val="{C22ACD45-2672-4A6B-B70B-67E43E14F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1023</Words>
  <Characters>5834</Characters>
  <Application>Microsoft Office Word</Application>
  <DocSecurity>0</DocSecurity>
  <Lines>48</Lines>
  <Paragraphs>13</Paragraphs>
  <ScaleCrop>false</ScaleCrop>
  <Company/>
  <LinksUpToDate>false</LinksUpToDate>
  <CharactersWithSpaces>6844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金强 郑</cp:lastModifiedBy>
  <cp:revision>2</cp:revision>
  <dcterms:created xsi:type="dcterms:W3CDTF">2025-01-17T08:20:00Z</dcterms:created>
  <dcterms:modified xsi:type="dcterms:W3CDTF">2025-01-17T08:25:00Z</dcterms:modified>
</cp:coreProperties>
</file>